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2E775">
      <w:pPr>
        <w:jc w:val="center"/>
        <w:rPr>
          <w:rFonts w:hint="eastAsia" w:ascii="宋体" w:hAnsi="宋体" w:eastAsia="宋体" w:cs="宋体"/>
          <w:sz w:val="24"/>
          <w:szCs w:val="24"/>
        </w:rPr>
        <w:sectPr>
          <w:footerReference r:id="rId3" w:type="default"/>
          <w:pgSz w:w="11906" w:h="16838"/>
          <w:pgMar w:top="1440" w:right="1800" w:bottom="1440" w:left="1800" w:header="851" w:footer="992" w:gutter="0"/>
          <w:pgNumType w:start="1"/>
          <w:cols w:space="425" w:num="1"/>
          <w:docGrid w:type="lines" w:linePitch="312" w:charSpace="0"/>
        </w:sectPr>
      </w:pPr>
      <w:r>
        <w:rPr>
          <w:rFonts w:hint="eastAsia" w:ascii="等线" w:hAnsi="等线" w:eastAsia="等线" w:cs="等线"/>
          <w:b/>
          <w:color w:val="000000" w:themeColor="text1"/>
          <w:sz w:val="24"/>
          <w14:textFill>
            <w14:solidFill>
              <w14:schemeClr w14:val="tx1"/>
            </w14:solidFill>
          </w14:textFill>
        </w:rPr>
        <w:drawing>
          <wp:anchor distT="0" distB="0" distL="114300" distR="114300" simplePos="0" relativeHeight="251659264" behindDoc="1" locked="0" layoutInCell="1" allowOverlap="1">
            <wp:simplePos x="0" y="0"/>
            <wp:positionH relativeFrom="page">
              <wp:posOffset>5080</wp:posOffset>
            </wp:positionH>
            <wp:positionV relativeFrom="paragraph">
              <wp:posOffset>-908685</wp:posOffset>
            </wp:positionV>
            <wp:extent cx="7543165" cy="10680065"/>
            <wp:effectExtent l="0" t="0" r="635" b="6985"/>
            <wp:wrapNone/>
            <wp:docPr id="767998934" name="图片 4"/>
            <wp:cNvGraphicFramePr/>
            <a:graphic xmlns:a="http://schemas.openxmlformats.org/drawingml/2006/main">
              <a:graphicData uri="http://schemas.openxmlformats.org/drawingml/2006/picture">
                <pic:pic xmlns:pic="http://schemas.openxmlformats.org/drawingml/2006/picture">
                  <pic:nvPicPr>
                    <pic:cNvPr id="767998934" name="图片 4"/>
                    <pic:cNvPicPr/>
                  </pic:nvPicPr>
                  <pic:blipFill>
                    <a:blip r:embed="rId6">
                      <a:extLst>
                        <a:ext uri="{28A0092B-C50C-407E-A947-70E740481C1C}">
                          <a14:useLocalDpi xmlns:a14="http://schemas.microsoft.com/office/drawing/2010/main" val="0"/>
                        </a:ext>
                      </a:extLst>
                    </a:blip>
                    <a:stretch>
                      <a:fillRect/>
                    </a:stretch>
                  </pic:blipFill>
                  <pic:spPr>
                    <a:xfrm>
                      <a:off x="0" y="0"/>
                      <a:ext cx="7543165" cy="10680065"/>
                    </a:xfrm>
                    <a:prstGeom prst="rect">
                      <a:avLst/>
                    </a:prstGeom>
                  </pic:spPr>
                </pic:pic>
              </a:graphicData>
            </a:graphic>
          </wp:anchor>
        </w:drawing>
      </w:r>
    </w:p>
    <w:p w14:paraId="497EBDFA">
      <w:pPr>
        <w:jc w:val="center"/>
        <w:rPr>
          <w:rFonts w:hint="eastAsia" w:ascii="宋体" w:hAnsi="宋体" w:eastAsia="宋体" w:cs="宋体"/>
          <w:sz w:val="24"/>
          <w:szCs w:val="24"/>
        </w:rPr>
      </w:pPr>
    </w:p>
    <w:sdt>
      <w:sdtPr>
        <w:rPr>
          <w:rFonts w:hint="eastAsia" w:ascii="宋体" w:hAnsi="宋体" w:eastAsia="宋体" w:cs="宋体"/>
          <w:sz w:val="24"/>
          <w:szCs w:val="24"/>
        </w:rPr>
        <w:id w:val="147454173"/>
        <w15:color w:val="DBDBDB"/>
        <w:docPartObj>
          <w:docPartGallery w:val="Table of Contents"/>
          <w:docPartUnique/>
        </w:docPartObj>
      </w:sdtPr>
      <w:sdtEndPr>
        <w:rPr>
          <w:rFonts w:hint="eastAsia" w:ascii="宋体" w:hAnsi="宋体" w:eastAsia="宋体" w:cs="宋体"/>
          <w:sz w:val="24"/>
          <w:szCs w:val="24"/>
        </w:rPr>
      </w:sdtEndPr>
      <w:sdtContent>
        <w:p w14:paraId="24A10965">
          <w:pPr>
            <w:jc w:val="center"/>
            <w:rPr>
              <w:rFonts w:hint="eastAsia" w:ascii="宋体" w:hAnsi="宋体" w:eastAsia="宋体" w:cs="宋体"/>
              <w:sz w:val="24"/>
              <w:szCs w:val="24"/>
            </w:rPr>
          </w:pPr>
          <w:r>
            <w:rPr>
              <w:rFonts w:hint="eastAsia" w:ascii="宋体" w:hAnsi="宋体" w:eastAsia="宋体" w:cs="宋体"/>
              <w:sz w:val="24"/>
              <w:szCs w:val="24"/>
            </w:rPr>
            <w:t>目录</w:t>
          </w:r>
        </w:p>
        <w:p w14:paraId="1355941C">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"_Toc216767927"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一、 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_Toc216767927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1FA141">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"_Toc216767928"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二、 引言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_Toc216767928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7A2576">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"_Toc216767929"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2.1研究背景与意义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_Toc216767929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FBFA75">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"_Toc216767930"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2.2研究内容与框架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C42521">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"_Toc216767931"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三． 数据准备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D15FE6">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"_Toc216767932"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3.1数据来源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_Toc216767932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58A62A">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"_Toc216767933"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3.2数据预处理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EB6828">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"_Toc216767934"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四、可视化分析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07AAA3">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"_Toc216767935"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4.1 沪深指数日/周/月线走势分析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29FC78">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"_Toc216767936"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4.2沪深指数相关性分析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C7457C">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"_Toc216767937"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4.3融资融券市场分析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C1813D">
          <w:pPr>
            <w:pStyle w:val="3"/>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"_Toc216767938"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4.3.1融资融券规模趋势分析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87B6D0">
          <w:pPr>
            <w:pStyle w:val="3"/>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"_Toc216767939"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4.3.2融资融券与市场走势联动分析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_Toc216767939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7CFF24">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"_Toc216767940"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五、 个股对比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54B6AF">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"_Toc216767941"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5.1 个股与大盘的相关性分析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F130A9">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"_Toc216767942"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5.2</w:t>
          </w:r>
          <w:r>
            <w:rPr>
              <w:rStyle w:val="14"/>
              <w:rFonts w:hint="eastAsia" w:ascii="宋体" w:hAnsi="宋体" w:eastAsia="宋体" w:cs="宋体"/>
              <w:sz w:val="24"/>
              <w:szCs w:val="24"/>
            </w:rPr>
            <w:t>个股的MACD指标可视化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4C278">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"_Toc216767943"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六、 基于MACD指标结合PSY辅助预示的量化策略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057832">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"_Toc216767944"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6.1  数据处理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E0E0B8">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"_Toc216767945"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6.2 收益率计算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19C26B">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"_Toc216767946"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6.3 策略设计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4458F7">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"_Toc216767947"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七、</w:t>
          </w:r>
          <w:r>
            <w:rPr>
              <w:rStyle w:val="14"/>
              <w:rFonts w:hint="eastAsia" w:ascii="宋体" w:hAnsi="宋体" w:eastAsia="宋体" w:cs="宋体"/>
              <w:b/>
              <w:bCs/>
              <w:kern w:val="0"/>
              <w:sz w:val="24"/>
              <w:szCs w:val="24"/>
              <w:lang w:bidi="ar"/>
            </w:rPr>
            <w:t xml:space="preserve"> 混合策略的深化构建与稳健性优化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15CA42">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"_Toc216767948"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 xml:space="preserve">7.1 </w:t>
          </w:r>
          <w:r>
            <w:rPr>
              <w:rStyle w:val="14"/>
              <w:rFonts w:hint="eastAsia" w:ascii="宋体" w:hAnsi="宋体" w:eastAsia="宋体" w:cs="宋体"/>
              <w:b/>
              <w:bCs/>
              <w:sz w:val="24"/>
              <w:szCs w:val="24"/>
              <w:lang w:bidi="ar"/>
            </w:rPr>
            <w:t>绩效特征的综合诊断：防御优势突出，进攻能力匮乏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FD073D">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"_Toc216767949"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7.2</w:t>
          </w:r>
          <w:r>
            <w:rPr>
              <w:rStyle w:val="14"/>
              <w:rFonts w:hint="eastAsia" w:ascii="宋体" w:hAnsi="宋体" w:eastAsia="宋体" w:cs="宋体"/>
              <w:b/>
              <w:bCs/>
              <w:sz w:val="24"/>
              <w:szCs w:val="24"/>
              <w:lang w:bidi="ar"/>
            </w:rPr>
            <w:t>关键矛盾的根源剖析与优化方向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_Toc216767949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0B9104">
          <w:pPr>
            <w:pStyle w:val="7"/>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"_Toc216767950" </w:instrText>
          </w:r>
          <w:r>
            <w:rPr>
              <w:rFonts w:hint="eastAsia" w:ascii="宋体" w:hAnsi="宋体" w:eastAsia="宋体" w:cs="宋体"/>
              <w:sz w:val="24"/>
              <w:szCs w:val="24"/>
            </w:rPr>
            <w:fldChar w:fldCharType="separate"/>
          </w:r>
          <w:r>
            <w:rPr>
              <w:rStyle w:val="14"/>
              <w:rFonts w:hint="eastAsia" w:ascii="宋体" w:hAnsi="宋体" w:eastAsia="宋体" w:cs="宋体"/>
              <w:kern w:val="0"/>
              <w:sz w:val="24"/>
              <w:szCs w:val="24"/>
              <w:lang w:bidi="ar"/>
            </w:rPr>
            <w:t>7.3</w:t>
          </w:r>
          <w:r>
            <w:rPr>
              <w:rStyle w:val="14"/>
              <w:rFonts w:hint="eastAsia" w:ascii="宋体" w:hAnsi="宋体" w:eastAsia="宋体" w:cs="宋体"/>
              <w:b/>
              <w:bCs/>
              <w:sz w:val="24"/>
              <w:szCs w:val="24"/>
              <w:lang w:bidi="ar"/>
            </w:rPr>
            <w:t>研究总结与前瞻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_Toc216767950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C728D5">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"_Toc216767951"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八、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_Toc216767951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76602C">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"_Toc216767952" </w:instrText>
          </w:r>
          <w:r>
            <w:rPr>
              <w:rFonts w:hint="eastAsia" w:ascii="宋体" w:hAnsi="宋体" w:eastAsia="宋体" w:cs="宋体"/>
              <w:sz w:val="24"/>
              <w:szCs w:val="24"/>
            </w:rPr>
            <w:fldChar w:fldCharType="separate"/>
          </w:r>
          <w:r>
            <w:rPr>
              <w:rStyle w:val="14"/>
              <w:rFonts w:hint="eastAsia" w:ascii="宋体" w:hAnsi="宋体" w:eastAsia="宋体" w:cs="宋体"/>
              <w:sz w:val="24"/>
              <w:szCs w:val="24"/>
            </w:rPr>
            <w:t>九、参考文献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_Toc216767952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5C3E25">
          <w:pPr>
            <w:jc w:val="center"/>
            <w:rPr>
              <w:rFonts w:hint="eastAsia" w:ascii="宋体" w:hAnsi="宋体" w:eastAsia="宋体" w:cs="宋体"/>
              <w:sz w:val="24"/>
              <w:szCs w:val="24"/>
            </w:rPr>
          </w:pPr>
          <w:r>
            <w:rPr>
              <w:rFonts w:hint="eastAsia" w:ascii="宋体" w:hAnsi="宋体" w:eastAsia="宋体" w:cs="宋体"/>
              <w:sz w:val="24"/>
              <w:szCs w:val="24"/>
            </w:rPr>
            <w:fldChar w:fldCharType="end"/>
          </w:r>
        </w:p>
      </w:sdtContent>
    </w:sdt>
    <w:p w14:paraId="0FC8CD03">
      <w:pPr>
        <w:jc w:val="center"/>
        <w:rPr>
          <w:rFonts w:hint="eastAsia" w:ascii="宋体" w:hAnsi="宋体" w:eastAsia="宋体" w:cs="宋体"/>
          <w:sz w:val="24"/>
          <w:szCs w:val="24"/>
        </w:rPr>
      </w:pPr>
    </w:p>
    <w:p w14:paraId="256DAF14">
      <w:pPr>
        <w:jc w:val="center"/>
        <w:rPr>
          <w:rFonts w:hint="eastAsia" w:ascii="宋体" w:hAnsi="宋体" w:eastAsia="宋体" w:cs="宋体"/>
          <w:sz w:val="24"/>
          <w:szCs w:val="24"/>
        </w:rPr>
      </w:pPr>
    </w:p>
    <w:p w14:paraId="7BE25493">
      <w:pPr>
        <w:jc w:val="center"/>
        <w:rPr>
          <w:rFonts w:hint="eastAsia" w:ascii="宋体" w:hAnsi="宋体" w:eastAsia="宋体" w:cs="宋体"/>
          <w:sz w:val="24"/>
          <w:szCs w:val="24"/>
        </w:rPr>
      </w:pPr>
    </w:p>
    <w:p w14:paraId="34D38217">
      <w:pPr>
        <w:jc w:val="center"/>
        <w:rPr>
          <w:rFonts w:hint="eastAsia" w:ascii="宋体" w:hAnsi="宋体" w:eastAsia="宋体" w:cs="宋体"/>
          <w:sz w:val="24"/>
          <w:szCs w:val="24"/>
        </w:rPr>
      </w:pPr>
    </w:p>
    <w:p w14:paraId="31327B68">
      <w:pPr>
        <w:jc w:val="center"/>
        <w:rPr>
          <w:rFonts w:hint="eastAsia" w:ascii="宋体" w:hAnsi="宋体" w:eastAsia="宋体" w:cs="宋体"/>
          <w:sz w:val="24"/>
          <w:szCs w:val="24"/>
        </w:rPr>
      </w:pPr>
    </w:p>
    <w:p w14:paraId="78B51075">
      <w:pPr>
        <w:jc w:val="center"/>
        <w:rPr>
          <w:rFonts w:hint="eastAsia" w:ascii="宋体" w:hAnsi="宋体" w:eastAsia="宋体" w:cs="宋体"/>
          <w:sz w:val="24"/>
          <w:szCs w:val="24"/>
        </w:rPr>
      </w:pPr>
    </w:p>
    <w:p w14:paraId="554543E0">
      <w:pPr>
        <w:jc w:val="center"/>
        <w:rPr>
          <w:rFonts w:hint="eastAsia" w:ascii="宋体" w:hAnsi="宋体" w:eastAsia="宋体" w:cs="宋体"/>
          <w:sz w:val="24"/>
          <w:szCs w:val="24"/>
        </w:rPr>
      </w:pPr>
    </w:p>
    <w:p w14:paraId="5D49CD74">
      <w:pPr>
        <w:jc w:val="center"/>
        <w:rPr>
          <w:rFonts w:hint="eastAsia" w:ascii="宋体" w:hAnsi="宋体" w:eastAsia="宋体" w:cs="宋体"/>
          <w:sz w:val="24"/>
          <w:szCs w:val="24"/>
        </w:rPr>
      </w:pPr>
    </w:p>
    <w:p w14:paraId="735BB640">
      <w:pPr>
        <w:jc w:val="center"/>
        <w:rPr>
          <w:rFonts w:hint="eastAsia" w:ascii="宋体" w:hAnsi="宋体" w:eastAsia="宋体" w:cs="宋体"/>
          <w:sz w:val="24"/>
          <w:szCs w:val="24"/>
        </w:rPr>
      </w:pPr>
    </w:p>
    <w:p w14:paraId="206BB0A9">
      <w:pPr>
        <w:jc w:val="center"/>
        <w:rPr>
          <w:rFonts w:hint="eastAsia" w:ascii="宋体" w:hAnsi="宋体" w:eastAsia="宋体" w:cs="宋体"/>
          <w:sz w:val="24"/>
          <w:szCs w:val="24"/>
        </w:rPr>
      </w:pPr>
    </w:p>
    <w:p w14:paraId="5E64FD2A">
      <w:pPr>
        <w:jc w:val="center"/>
        <w:rPr>
          <w:rFonts w:hint="eastAsia" w:ascii="宋体" w:hAnsi="宋体" w:eastAsia="宋体" w:cs="宋体"/>
          <w:sz w:val="24"/>
          <w:szCs w:val="24"/>
        </w:rPr>
      </w:pPr>
    </w:p>
    <w:p w14:paraId="63510FD1">
      <w:pPr>
        <w:jc w:val="center"/>
        <w:rPr>
          <w:rFonts w:hint="eastAsia" w:ascii="宋体" w:hAnsi="宋体" w:eastAsia="宋体" w:cs="宋体"/>
          <w:sz w:val="24"/>
          <w:szCs w:val="24"/>
        </w:rPr>
      </w:pPr>
    </w:p>
    <w:p w14:paraId="37D8C3C8">
      <w:pPr>
        <w:jc w:val="center"/>
        <w:rPr>
          <w:rFonts w:hint="eastAsia" w:ascii="宋体" w:hAnsi="宋体" w:eastAsia="宋体" w:cs="宋体"/>
          <w:sz w:val="24"/>
          <w:szCs w:val="24"/>
        </w:rPr>
      </w:pPr>
    </w:p>
    <w:p w14:paraId="11DB96FE">
      <w:pPr>
        <w:jc w:val="center"/>
        <w:rPr>
          <w:rFonts w:hint="eastAsia" w:ascii="宋体" w:hAnsi="宋体" w:eastAsia="宋体" w:cs="宋体"/>
          <w:sz w:val="24"/>
          <w:szCs w:val="24"/>
        </w:rPr>
      </w:pPr>
    </w:p>
    <w:p w14:paraId="65F35F7F">
      <w:pPr>
        <w:rPr>
          <w:rFonts w:hint="eastAsia" w:ascii="宋体" w:hAnsi="宋体" w:eastAsia="宋体" w:cs="宋体"/>
          <w:sz w:val="24"/>
          <w:szCs w:val="24"/>
        </w:rPr>
        <w:sectPr>
          <w:pgSz w:w="11906" w:h="16838"/>
          <w:pgMar w:top="1440" w:right="1800" w:bottom="1440" w:left="1800" w:header="851" w:footer="992" w:gutter="0"/>
          <w:pgNumType w:start="1"/>
          <w:cols w:space="425" w:num="1"/>
          <w:docGrid w:type="lines" w:linePitch="312" w:charSpace="0"/>
        </w:sectPr>
      </w:pPr>
    </w:p>
    <w:p w14:paraId="44A36DD1">
      <w:pPr>
        <w:jc w:val="center"/>
        <w:rPr>
          <w:rFonts w:hint="eastAsia" w:ascii="宋体" w:hAnsi="宋体" w:eastAsia="宋体" w:cs="宋体"/>
          <w:sz w:val="24"/>
          <w:szCs w:val="24"/>
        </w:rPr>
      </w:pPr>
      <w:r>
        <w:rPr>
          <w:rFonts w:hint="eastAsia" w:ascii="宋体" w:hAnsi="宋体" w:eastAsia="宋体" w:cs="宋体"/>
          <w:sz w:val="24"/>
          <w:szCs w:val="24"/>
        </w:rPr>
        <w:t>证券数据分析与量化指标可视化报告</w:t>
      </w:r>
    </w:p>
    <w:p w14:paraId="4CB8CD3B">
      <w:pPr>
        <w:numPr>
          <w:ilvl w:val="0"/>
          <w:numId w:val="1"/>
        </w:numPr>
        <w:outlineLvl w:val="0"/>
        <w:rPr>
          <w:rFonts w:hint="eastAsia" w:ascii="宋体" w:hAnsi="宋体" w:eastAsia="宋体" w:cs="宋体"/>
          <w:sz w:val="24"/>
          <w:szCs w:val="24"/>
        </w:rPr>
      </w:pPr>
      <w:bookmarkStart w:id="0" w:name="_Toc216767927"/>
      <w:r>
        <w:rPr>
          <w:rFonts w:hint="eastAsia" w:ascii="宋体" w:hAnsi="宋体" w:eastAsia="宋体" w:cs="宋体"/>
          <w:sz w:val="24"/>
          <w:szCs w:val="24"/>
        </w:rPr>
        <w:t>摘要</w:t>
      </w:r>
      <w:bookmarkEnd w:id="0"/>
    </w:p>
    <w:p w14:paraId="0EFB73BD">
      <w:pPr>
        <w:outlineLvl w:val="0"/>
        <w:rPr>
          <w:rFonts w:hint="eastAsia" w:ascii="宋体" w:hAnsi="宋体" w:eastAsia="宋体" w:cs="宋体"/>
          <w:sz w:val="24"/>
          <w:szCs w:val="24"/>
        </w:rPr>
      </w:pPr>
    </w:p>
    <w:p w14:paraId="68A63642">
      <w:pPr>
        <w:widowControl/>
        <w:ind w:firstLine="420"/>
        <w:jc w:val="left"/>
        <w:rPr>
          <w:rFonts w:hint="eastAsia" w:ascii="宋体" w:hAnsi="宋体" w:eastAsia="宋体" w:cs="宋体"/>
          <w:sz w:val="24"/>
          <w:szCs w:val="24"/>
        </w:rPr>
      </w:pPr>
      <w:r>
        <w:rPr>
          <w:rFonts w:hint="eastAsia" w:ascii="宋体" w:hAnsi="宋体" w:eastAsia="宋体" w:cs="宋体"/>
          <w:sz w:val="24"/>
          <w:szCs w:val="24"/>
        </w:rPr>
        <w:t>证券市场尤其是股票市场在现代资本市场中占据着不可替代的作用。在当今全球经济一体化加速的大背景下，股票市场的作用从传统意义上的企业融资以及大众投资渐渐拓展成为全球资金融通的重要战略工具对优化全球资源配置及经济发展起到极大的促进作用。然而除了以上宏观的战略作用，最为大众所津津乐道的仍然是股市的投资回报功能。历史经验表明，不同个人投资股票的收益呈现极大的差异化，少部分人凭借投资股票暴富，更多的人则是亏损累累。正是由于投资回报的极大不确定性，全球大量有志之士热衷于对股市进行研究。其组成人员难以归类，既有名声在外的高级学者如凯恩斯、马克思也不乏毫无学历的社会人士。其采用的研究方法也五花八门。同时从大量统计经验表明，个体投资股票获得的收益与其学历居然没有多大正相关性，这也为证券投资技术分析方法披上了一层神秘主义的面纱。</w:t>
      </w:r>
    </w:p>
    <w:p w14:paraId="4B7C7C69">
      <w:pPr>
        <w:ind w:firstLine="480" w:firstLineChars="200"/>
        <w:rPr>
          <w:rFonts w:hint="eastAsia" w:ascii="宋体" w:hAnsi="宋体" w:eastAsia="宋体" w:cs="宋体"/>
          <w:sz w:val="24"/>
          <w:szCs w:val="24"/>
        </w:rPr>
      </w:pPr>
    </w:p>
    <w:p w14:paraId="01BD9A58">
      <w:pPr>
        <w:ind w:firstLine="420"/>
        <w:rPr>
          <w:rFonts w:hint="eastAsia" w:ascii="宋体" w:hAnsi="宋体" w:eastAsia="宋体" w:cs="宋体"/>
          <w:sz w:val="24"/>
          <w:szCs w:val="24"/>
        </w:rPr>
      </w:pPr>
      <w:r>
        <w:rPr>
          <w:rFonts w:hint="eastAsia" w:ascii="宋体" w:hAnsi="宋体" w:eastAsia="宋体" w:cs="宋体"/>
          <w:sz w:val="24"/>
          <w:szCs w:val="24"/>
        </w:rPr>
        <w:t>本文的研究思路为先阐述股市上大盘股票的主要驱动作用。其后针对本文的研究，选取小型个股和大盘股票进行探讨、比较、归纳及评价。之后，本文结合运用了 EXCEL 表格及 Python 编程对 MACD、PSY 进行量化研究，试图建立切实可行的投资策略。</w:t>
      </w:r>
    </w:p>
    <w:p w14:paraId="61D6DF69">
      <w:pPr>
        <w:rPr>
          <w:rFonts w:hint="eastAsia" w:ascii="宋体" w:hAnsi="宋体" w:eastAsia="宋体" w:cs="宋体"/>
          <w:sz w:val="24"/>
          <w:szCs w:val="24"/>
        </w:rPr>
      </w:pPr>
    </w:p>
    <w:p w14:paraId="0B4596E4">
      <w:pPr>
        <w:widowControl/>
        <w:ind w:firstLine="420"/>
        <w:jc w:val="left"/>
        <w:rPr>
          <w:rFonts w:hint="eastAsia" w:ascii="宋体" w:hAnsi="宋体" w:eastAsia="宋体" w:cs="宋体"/>
          <w:sz w:val="24"/>
          <w:szCs w:val="24"/>
        </w:rPr>
      </w:pPr>
      <w:r>
        <w:rPr>
          <w:rFonts w:hint="eastAsia" w:ascii="宋体" w:hAnsi="宋体" w:eastAsia="宋体" w:cs="宋体"/>
          <w:sz w:val="24"/>
          <w:szCs w:val="24"/>
        </w:rPr>
        <w:t>本文的研究结论为，通过历史数据的测算表明，在指标单一运用的情况下，沪深合计大盘指数指标策略综合效果远大于单一股票策略量化结果，我们基于 MACD 指标结合PSY辅助预示的量化策略则具备一定的应用意义，而交叉策略则效果欠佳。所以到最后的t检验显著性时表示出收益率具有很强的随机波动性。相比较而言，MACD 均线策略更适合较稳重的指数如上证指数，而单一的策略则更加适合快节奏的指数标的如创业板中小板指数。而本文的最终结论为，通过一个稳定的复合指标投资策略，个人具备在股市投机盈利的可能性。</w:t>
      </w:r>
    </w:p>
    <w:p w14:paraId="07BA67D9">
      <w:pPr>
        <w:widowControl/>
        <w:jc w:val="left"/>
        <w:rPr>
          <w:rFonts w:hint="eastAsia" w:ascii="宋体" w:hAnsi="宋体" w:eastAsia="宋体" w:cs="宋体"/>
          <w:b/>
          <w:bCs/>
          <w:sz w:val="24"/>
          <w:szCs w:val="24"/>
        </w:rPr>
      </w:pPr>
      <w:r>
        <w:rPr>
          <w:rFonts w:hint="eastAsia" w:ascii="宋体" w:hAnsi="宋体" w:eastAsia="宋体" w:cs="宋体"/>
          <w:b/>
          <w:bCs/>
          <w:sz w:val="24"/>
          <w:szCs w:val="24"/>
        </w:rPr>
        <w:t>关键词：证券投资MACD指标策略  PSY辅助预示 技术分析</w:t>
      </w:r>
    </w:p>
    <w:p w14:paraId="152E9A18">
      <w:pPr>
        <w:rPr>
          <w:rFonts w:hint="eastAsia" w:ascii="宋体" w:hAnsi="宋体" w:eastAsia="宋体" w:cs="宋体"/>
          <w:sz w:val="24"/>
          <w:szCs w:val="24"/>
        </w:rPr>
      </w:pPr>
    </w:p>
    <w:p w14:paraId="37DA4F47">
      <w:pPr>
        <w:rPr>
          <w:rFonts w:hint="eastAsia" w:ascii="宋体" w:hAnsi="宋体" w:eastAsia="宋体" w:cs="宋体"/>
          <w:sz w:val="24"/>
          <w:szCs w:val="24"/>
        </w:rPr>
      </w:pPr>
    </w:p>
    <w:p w14:paraId="4D203859">
      <w:pPr>
        <w:numPr>
          <w:ilvl w:val="0"/>
          <w:numId w:val="2"/>
        </w:numPr>
        <w:outlineLvl w:val="0"/>
        <w:rPr>
          <w:rFonts w:hint="eastAsia" w:ascii="宋体" w:hAnsi="宋体" w:eastAsia="宋体" w:cs="宋体"/>
          <w:sz w:val="24"/>
          <w:szCs w:val="24"/>
        </w:rPr>
      </w:pPr>
      <w:bookmarkStart w:id="1" w:name="_Toc216767928"/>
      <w:r>
        <w:rPr>
          <w:rFonts w:hint="eastAsia" w:ascii="宋体" w:hAnsi="宋体" w:eastAsia="宋体" w:cs="宋体"/>
          <w:sz w:val="24"/>
          <w:szCs w:val="24"/>
        </w:rPr>
        <w:t>引言</w:t>
      </w:r>
      <w:bookmarkEnd w:id="1"/>
    </w:p>
    <w:p w14:paraId="430976B5">
      <w:pPr>
        <w:outlineLvl w:val="0"/>
        <w:rPr>
          <w:rFonts w:hint="eastAsia" w:ascii="宋体" w:hAnsi="宋体" w:eastAsia="宋体" w:cs="宋体"/>
          <w:sz w:val="24"/>
          <w:szCs w:val="24"/>
        </w:rPr>
      </w:pPr>
    </w:p>
    <w:p w14:paraId="681E9B33">
      <w:pPr>
        <w:outlineLvl w:val="1"/>
        <w:rPr>
          <w:rFonts w:hint="eastAsia" w:ascii="宋体" w:hAnsi="宋体" w:eastAsia="宋体" w:cs="宋体"/>
          <w:sz w:val="24"/>
          <w:szCs w:val="24"/>
        </w:rPr>
      </w:pPr>
      <w:bookmarkStart w:id="2" w:name="_Toc216767929"/>
      <w:r>
        <w:rPr>
          <w:rFonts w:hint="eastAsia" w:ascii="宋体" w:hAnsi="宋体" w:eastAsia="宋体" w:cs="宋体"/>
          <w:sz w:val="24"/>
          <w:szCs w:val="24"/>
        </w:rPr>
        <w:t>2.1研究背景与意义</w:t>
      </w:r>
      <w:bookmarkEnd w:id="2"/>
    </w:p>
    <w:p w14:paraId="7934F0CE">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自 2015 年 6 月 12 日至2015年 9 月 18 日，A 股在过去三个月中累计跌幅达到 42%。以上证综合指数为例，上证综合指数自 6 月 12 日 5178 点一路下跌，至 8 月 26 日最低跌至 2850 点。短短 52 个交易日，指数接近腰斩，绝大多数小市值个股市值缩水达 70%。深市沪市两市相加市值蒸发近 30 万亿元人名币，并经历了 16 次千股跌停的“惨剧”。以中登公司持仓人数（5197.55 万人）数据计算，本轮下跌中国股民在三个月中人均亏损约达 60 万元。本次股市的下跌力度之大速度之快不仅为中国股市历史之最，在世界成熟的资本市场历史中同样极为罕见。</w:t>
      </w:r>
    </w:p>
    <w:p w14:paraId="7F0703A5">
      <w:pPr>
        <w:widowControl/>
        <w:jc w:val="left"/>
        <w:rPr>
          <w:rFonts w:hint="eastAsia" w:ascii="宋体" w:hAnsi="宋体" w:eastAsia="宋体" w:cs="宋体"/>
          <w:color w:val="000000"/>
          <w:kern w:val="0"/>
          <w:sz w:val="24"/>
          <w:szCs w:val="24"/>
          <w:lang w:bidi="ar"/>
        </w:rPr>
      </w:pPr>
    </w:p>
    <w:p w14:paraId="3923BE4A">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在此轮暴跌中，绝大多数基金及个人投资者亏损累累。然而查阅受银监会监管的投资于股市的一些信托基金的投资情况，却发现有小部分信托基金并未受到暴跌的严重影响，甚至其收益逆市连创新高。如著名私募基金泽熙投资旗下“山东信托-泽熙 3 期”和“华润信托-泽熙1 期”截止 2015 年 9 月 15 日分别获得了 369.33%和 345.73%的超高收益率，远远超过同期大盘涨幅。通过观察这些基金的长期历史走势与大盘走势进行对比，发现这些基金往往能避开下跌，长</w:t>
      </w:r>
    </w:p>
    <w:p w14:paraId="2B4801BD">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期稳定得获得绝对正收益。</w:t>
      </w:r>
    </w:p>
    <w:p w14:paraId="047775DF">
      <w:pPr>
        <w:outlineLvl w:val="1"/>
        <w:rPr>
          <w:rFonts w:hint="eastAsia" w:ascii="宋体" w:hAnsi="宋体" w:eastAsia="宋体" w:cs="宋体"/>
          <w:sz w:val="24"/>
          <w:szCs w:val="24"/>
        </w:rPr>
      </w:pPr>
    </w:p>
    <w:p w14:paraId="75F1A70D">
      <w:pPr>
        <w:ind w:firstLine="420"/>
        <w:rPr>
          <w:rFonts w:hint="eastAsia" w:ascii="宋体" w:hAnsi="宋体" w:eastAsia="宋体" w:cs="宋体"/>
          <w:sz w:val="24"/>
          <w:szCs w:val="24"/>
        </w:rPr>
      </w:pPr>
      <w:r>
        <w:rPr>
          <w:rFonts w:hint="eastAsia" w:ascii="宋体" w:hAnsi="宋体" w:eastAsia="宋体" w:cs="宋体"/>
          <w:sz w:val="24"/>
          <w:szCs w:val="24"/>
        </w:rPr>
        <w:t>正是基于此，笔者也尝试分析检验股市的主流分析方法，试图找出某些规律。我们认为数据可视化是数据分析的重要方法，可以通过可视化处理揭示复杂数据集的模式和特征，帮助投资者清晰把握股票市场动态、深入理解单个股票。近年来，股票价格受多种因素影响，从公司自身业绩到整体经济状况均涵盖其中。股票投资决策需要时间、知识和洞察力，包括对历史数据的掌握。因此，为了管理投资组合，必须定期分析股票市场数据以识别各类股票之间的潜在关系，利用数据可视化方法和可视化分析工具辅助人工分析，并根据相关股票的趋势调整投资策略。</w:t>
      </w:r>
    </w:p>
    <w:p w14:paraId="52A2A305">
      <w:pPr>
        <w:rPr>
          <w:rFonts w:hint="eastAsia" w:ascii="宋体" w:hAnsi="宋体" w:eastAsia="宋体" w:cs="宋体"/>
          <w:sz w:val="24"/>
          <w:szCs w:val="24"/>
        </w:rPr>
      </w:pPr>
    </w:p>
    <w:p w14:paraId="10785067">
      <w:pPr>
        <w:outlineLvl w:val="1"/>
        <w:rPr>
          <w:rFonts w:hint="eastAsia" w:ascii="宋体" w:hAnsi="宋体" w:eastAsia="宋体" w:cs="宋体"/>
          <w:sz w:val="24"/>
          <w:szCs w:val="24"/>
        </w:rPr>
      </w:pPr>
      <w:bookmarkStart w:id="3" w:name="_Toc216767930"/>
      <w:r>
        <w:rPr>
          <w:rFonts w:hint="eastAsia" w:ascii="宋体" w:hAnsi="宋体" w:eastAsia="宋体" w:cs="宋体"/>
          <w:sz w:val="24"/>
          <w:szCs w:val="24"/>
        </w:rPr>
        <w:t>2.2研究内容与框架</w:t>
      </w:r>
      <w:bookmarkEnd w:id="3"/>
    </w:p>
    <w:p w14:paraId="09C430D5">
      <w:pPr>
        <w:outlineLvl w:val="1"/>
        <w:rPr>
          <w:rFonts w:hint="eastAsia" w:ascii="宋体" w:hAnsi="宋体" w:eastAsia="宋体" w:cs="宋体"/>
          <w:sz w:val="24"/>
          <w:szCs w:val="24"/>
        </w:rPr>
      </w:pPr>
    </w:p>
    <w:p w14:paraId="05A48565">
      <w:pPr>
        <w:ind w:firstLine="240" w:firstLineChars="100"/>
        <w:rPr>
          <w:rFonts w:hint="eastAsia" w:ascii="宋体" w:hAnsi="宋体" w:eastAsia="宋体" w:cs="宋体"/>
          <w:sz w:val="24"/>
          <w:szCs w:val="24"/>
        </w:rPr>
      </w:pPr>
      <w:r>
        <w:rPr>
          <w:rFonts w:hint="eastAsia" w:ascii="宋体" w:hAnsi="宋体" w:eastAsia="宋体" w:cs="宋体"/>
          <w:sz w:val="24"/>
          <w:szCs w:val="24"/>
        </w:rPr>
        <w:t xml:space="preserve"> 报告分为数据准备、可视化分析、个股对比、量化策略、混合策略、结论与展望六个主要部分落实，依次完成沪深指数可视化分析、融资融券趋势、个股与大盘相关性、MACD可视化、策略回测分析及混合策略分析。</w:t>
      </w:r>
    </w:p>
    <w:p w14:paraId="139E30E9">
      <w:pPr>
        <w:rPr>
          <w:rFonts w:hint="eastAsia" w:ascii="宋体" w:hAnsi="宋体" w:eastAsia="宋体" w:cs="宋体"/>
          <w:sz w:val="24"/>
          <w:szCs w:val="24"/>
        </w:rPr>
      </w:pPr>
    </w:p>
    <w:p w14:paraId="36C71D7B">
      <w:pPr>
        <w:rPr>
          <w:rFonts w:hint="eastAsia" w:ascii="宋体" w:hAnsi="宋体" w:eastAsia="宋体" w:cs="宋体"/>
          <w:sz w:val="24"/>
          <w:szCs w:val="24"/>
        </w:rPr>
      </w:pPr>
    </w:p>
    <w:p w14:paraId="0FC2D26D">
      <w:pPr>
        <w:numPr>
          <w:ilvl w:val="0"/>
          <w:numId w:val="3"/>
        </w:numPr>
        <w:outlineLvl w:val="0"/>
        <w:rPr>
          <w:rFonts w:hint="eastAsia" w:ascii="宋体" w:hAnsi="宋体" w:eastAsia="宋体" w:cs="宋体"/>
          <w:sz w:val="24"/>
          <w:szCs w:val="24"/>
        </w:rPr>
      </w:pPr>
      <w:bookmarkStart w:id="4" w:name="_Toc216767931"/>
      <w:r>
        <w:rPr>
          <w:rFonts w:hint="eastAsia" w:ascii="宋体" w:hAnsi="宋体" w:eastAsia="宋体" w:cs="宋体"/>
          <w:sz w:val="24"/>
          <w:szCs w:val="24"/>
        </w:rPr>
        <w:t>数据准备</w:t>
      </w:r>
      <w:bookmarkEnd w:id="4"/>
    </w:p>
    <w:p w14:paraId="6E254426">
      <w:pPr>
        <w:outlineLvl w:val="0"/>
        <w:rPr>
          <w:rFonts w:hint="eastAsia" w:ascii="宋体" w:hAnsi="宋体" w:eastAsia="宋体" w:cs="宋体"/>
          <w:sz w:val="24"/>
          <w:szCs w:val="24"/>
        </w:rPr>
      </w:pPr>
    </w:p>
    <w:p w14:paraId="400F51CD">
      <w:pPr>
        <w:outlineLvl w:val="1"/>
        <w:rPr>
          <w:rFonts w:hint="eastAsia" w:ascii="宋体" w:hAnsi="宋体" w:eastAsia="宋体" w:cs="宋体"/>
          <w:sz w:val="24"/>
          <w:szCs w:val="24"/>
        </w:rPr>
      </w:pPr>
      <w:bookmarkStart w:id="5" w:name="_Toc216767932"/>
      <w:r>
        <w:rPr>
          <w:rFonts w:hint="eastAsia" w:ascii="宋体" w:hAnsi="宋体" w:eastAsia="宋体" w:cs="宋体"/>
          <w:sz w:val="24"/>
          <w:szCs w:val="24"/>
        </w:rPr>
        <w:t>3.1数据来源</w:t>
      </w:r>
      <w:bookmarkEnd w:id="5"/>
    </w:p>
    <w:p w14:paraId="26C1F3C6">
      <w:pPr>
        <w:ind w:firstLine="480" w:firstLineChars="200"/>
        <w:rPr>
          <w:rFonts w:hint="eastAsia" w:ascii="宋体" w:hAnsi="宋体" w:eastAsia="宋体" w:cs="宋体"/>
          <w:sz w:val="24"/>
          <w:szCs w:val="24"/>
        </w:rPr>
      </w:pPr>
      <w:r>
        <w:rPr>
          <w:rFonts w:hint="eastAsia" w:ascii="宋体" w:hAnsi="宋体" w:eastAsia="宋体" w:cs="宋体"/>
          <w:sz w:val="24"/>
          <w:szCs w:val="24"/>
        </w:rPr>
        <w:t>数据是证券分析与量化研究的核心基础，为确保研究的全面性、准确性与有效性，本次研究在数据来源选取与预处理环节进行了系统性设计。在数据来源方面，我们聚焦中国 A 股市场最具代表性的核心指数 —— 上证指数与深圳成指，二者分别反映沪市、深市的整体市场走势，是衡量市场景气度的关键标杆。其中，沪市指数数据覆盖 1990 年 12 月 19 日至 2022 年 6 月 17 日的完整交易周期，累计 7694 个交易日，完整记录了沪市从建立初期到成熟发展阶段的价格波动轨迹；深证成指数据则始于 1991 年 4 月 3 日，截至 2022 年 6 月 17 日，共 7603 个交易日，客观呈现了深市中小盘企业集中的市场特征与长期走势。此外，考虑到融资融券业务作为市场杠杆资金的重要体现，其规模与流向对市场走势具有显著影响，我们同步收集了沪深两市 2010 年 3 月 31 日至 2022 年 6 月 17 日的融资融券交易数据，共计 2967 个交易日，为后续分析杠杆资金与市场走势的联动关系提供了关键数据支撑。</w:t>
      </w:r>
    </w:p>
    <w:p w14:paraId="79B1C5A6">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40915" cy="1189990"/>
            <wp:effectExtent l="0" t="0" r="6985"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7"/>
                    <a:stretch>
                      <a:fillRect/>
                    </a:stretch>
                  </pic:blipFill>
                  <pic:spPr>
                    <a:xfrm>
                      <a:off x="0" y="0"/>
                      <a:ext cx="2240915" cy="1189990"/>
                    </a:xfrm>
                    <a:prstGeom prst="rect">
                      <a:avLst/>
                    </a:prstGeom>
                    <a:noFill/>
                    <a:ln>
                      <a:noFill/>
                    </a:ln>
                  </pic:spPr>
                </pic:pic>
              </a:graphicData>
            </a:graphic>
          </wp:inline>
        </w:drawing>
      </w:r>
      <w:r>
        <w:rPr>
          <w:rFonts w:hint="eastAsia" w:ascii="宋体" w:hAnsi="宋体" w:eastAsia="宋体" w:cs="宋体"/>
          <w:sz w:val="24"/>
          <w:szCs w:val="24"/>
        </w:rPr>
        <w:t xml:space="preserve">   </w:t>
      </w:r>
      <w:r>
        <w:rPr>
          <w:rFonts w:hint="eastAsia" w:ascii="宋体" w:hAnsi="宋体" w:eastAsia="宋体" w:cs="宋体"/>
          <w:sz w:val="24"/>
          <w:szCs w:val="24"/>
        </w:rPr>
        <w:drawing>
          <wp:inline distT="0" distB="0" distL="114300" distR="114300">
            <wp:extent cx="2426970" cy="1198245"/>
            <wp:effectExtent l="0" t="0" r="1905" b="190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8"/>
                    <a:stretch>
                      <a:fillRect/>
                    </a:stretch>
                  </pic:blipFill>
                  <pic:spPr>
                    <a:xfrm>
                      <a:off x="0" y="0"/>
                      <a:ext cx="2426970" cy="1198245"/>
                    </a:xfrm>
                    <a:prstGeom prst="rect">
                      <a:avLst/>
                    </a:prstGeom>
                    <a:noFill/>
                    <a:ln>
                      <a:noFill/>
                    </a:ln>
                  </pic:spPr>
                </pic:pic>
              </a:graphicData>
            </a:graphic>
          </wp:inline>
        </w:drawing>
      </w:r>
    </w:p>
    <w:p w14:paraId="33F85F86">
      <w:pPr>
        <w:ind w:firstLine="1680" w:firstLineChars="700"/>
        <w:rPr>
          <w:rFonts w:hint="eastAsia" w:ascii="宋体" w:hAnsi="宋体" w:eastAsia="宋体" w:cs="宋体"/>
          <w:sz w:val="24"/>
          <w:szCs w:val="24"/>
        </w:rPr>
      </w:pPr>
      <w:r>
        <w:rPr>
          <w:rFonts w:hint="eastAsia" w:ascii="宋体" w:hAnsi="宋体" w:eastAsia="宋体" w:cs="宋体"/>
          <w:sz w:val="24"/>
          <w:szCs w:val="24"/>
        </w:rPr>
        <w:t>Sh_index                             sz_index</w:t>
      </w:r>
    </w:p>
    <w:p w14:paraId="5A757903">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023745" cy="1176655"/>
            <wp:effectExtent l="0" t="0" r="5080" b="444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2023745" cy="1176655"/>
                    </a:xfrm>
                    <a:prstGeom prst="rect">
                      <a:avLst/>
                    </a:prstGeom>
                    <a:noFill/>
                    <a:ln>
                      <a:noFill/>
                    </a:ln>
                  </pic:spPr>
                </pic:pic>
              </a:graphicData>
            </a:graphic>
          </wp:inline>
        </w:drawing>
      </w:r>
      <w:r>
        <w:rPr>
          <w:rFonts w:hint="eastAsia" w:ascii="宋体" w:hAnsi="宋体" w:eastAsia="宋体" w:cs="宋体"/>
          <w:sz w:val="24"/>
          <w:szCs w:val="24"/>
        </w:rPr>
        <w:t xml:space="preserve">    </w:t>
      </w:r>
      <w:r>
        <w:rPr>
          <w:rFonts w:hint="eastAsia" w:ascii="宋体" w:hAnsi="宋体" w:eastAsia="宋体" w:cs="宋体"/>
          <w:sz w:val="24"/>
          <w:szCs w:val="24"/>
        </w:rPr>
        <w:drawing>
          <wp:inline distT="0" distB="0" distL="114300" distR="114300">
            <wp:extent cx="2304415" cy="1212850"/>
            <wp:effectExtent l="0" t="0" r="635" b="63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0"/>
                    <a:stretch>
                      <a:fillRect/>
                    </a:stretch>
                  </pic:blipFill>
                  <pic:spPr>
                    <a:xfrm>
                      <a:off x="0" y="0"/>
                      <a:ext cx="2304415" cy="1212850"/>
                    </a:xfrm>
                    <a:prstGeom prst="rect">
                      <a:avLst/>
                    </a:prstGeom>
                    <a:noFill/>
                    <a:ln>
                      <a:noFill/>
                    </a:ln>
                  </pic:spPr>
                </pic:pic>
              </a:graphicData>
            </a:graphic>
          </wp:inline>
        </w:drawing>
      </w:r>
    </w:p>
    <w:p w14:paraId="67B0400E">
      <w:pPr>
        <w:ind w:firstLine="1680" w:firstLineChars="700"/>
        <w:rPr>
          <w:rFonts w:hint="eastAsia" w:ascii="宋体" w:hAnsi="宋体" w:eastAsia="宋体" w:cs="宋体"/>
          <w:sz w:val="24"/>
          <w:szCs w:val="24"/>
        </w:rPr>
      </w:pPr>
      <w:r>
        <w:rPr>
          <w:rFonts w:hint="eastAsia" w:ascii="宋体" w:hAnsi="宋体" w:eastAsia="宋体" w:cs="宋体"/>
          <w:sz w:val="24"/>
          <w:szCs w:val="24"/>
        </w:rPr>
        <w:t>Sh_margin_index                  sz_margin_index</w:t>
      </w:r>
    </w:p>
    <w:p w14:paraId="6F963C5D">
      <w:pPr>
        <w:outlineLvl w:val="1"/>
        <w:rPr>
          <w:rFonts w:hint="eastAsia" w:ascii="宋体" w:hAnsi="宋体" w:eastAsia="宋体" w:cs="宋体"/>
          <w:sz w:val="24"/>
          <w:szCs w:val="24"/>
        </w:rPr>
      </w:pPr>
    </w:p>
    <w:p w14:paraId="7196AF79">
      <w:pPr>
        <w:outlineLvl w:val="1"/>
        <w:rPr>
          <w:rFonts w:hint="eastAsia" w:ascii="宋体" w:hAnsi="宋体" w:eastAsia="宋体" w:cs="宋体"/>
          <w:sz w:val="24"/>
          <w:szCs w:val="24"/>
        </w:rPr>
      </w:pPr>
      <w:bookmarkStart w:id="6" w:name="_Toc216767933"/>
      <w:r>
        <w:rPr>
          <w:rFonts w:hint="eastAsia" w:ascii="宋体" w:hAnsi="宋体" w:eastAsia="宋体" w:cs="宋体"/>
          <w:sz w:val="24"/>
          <w:szCs w:val="24"/>
        </w:rPr>
        <w:t>3.2数据预处理</w:t>
      </w:r>
      <w:bookmarkEnd w:id="6"/>
    </w:p>
    <w:p w14:paraId="3CD6A02E">
      <w:pPr>
        <w:keepNext/>
        <w:ind w:firstLine="480" w:firstLineChars="200"/>
        <w:rPr>
          <w:rFonts w:hint="eastAsia" w:ascii="宋体" w:hAnsi="宋体" w:eastAsia="宋体" w:cs="宋体"/>
          <w:sz w:val="24"/>
          <w:szCs w:val="24"/>
        </w:rPr>
      </w:pPr>
      <w:r>
        <w:rPr>
          <w:rFonts w:hint="eastAsia" w:ascii="宋体" w:hAnsi="宋体" w:eastAsia="宋体" w:cs="宋体"/>
          <w:sz w:val="24"/>
          <w:szCs w:val="24"/>
        </w:rPr>
        <w:t>为消除数据差异带来的分析偏差，确保各类数据集的兼容性与一致性，我们开展了多维度的数据预处理工作。首先进行日期格式统一，将指数数据与融资融券数据中不同格式的日期字段全部转换为</w:t>
      </w:r>
      <m:oMath>
        <m:r>
          <m:rPr/>
          <w:rPr>
            <w:rFonts w:hint="eastAsia" w:ascii="Cambria Math" w:hAnsi="Cambria Math" w:eastAsia="宋体" w:cs="宋体"/>
            <w:sz w:val="24"/>
            <w:szCs w:val="24"/>
          </w:rPr>
          <m:t xml:space="preserve"> datetime64 </m:t>
        </m:r>
      </m:oMath>
      <w:r>
        <w:rPr>
          <w:rFonts w:hint="eastAsia" w:ascii="宋体" w:hAnsi="宋体" w:eastAsia="宋体" w:cs="宋体"/>
          <w:sz w:val="24"/>
          <w:szCs w:val="24"/>
        </w:rPr>
        <w:t xml:space="preserve">格式，为后续时间序列分析与数据对齐奠定基础；其次实施字段命名标准化，对所有数据集的关键字段（如开盘价、收盘价、成交量等）进行统一命名，避免因字段名称混乱导致的分析误差；针对数据中存在的缺失值，采用 “前向填充法” 进行补充，该方法基于金融数据的连续性特征，能够在最大程度保留数据真实性的前提下，弥补缺失信息的影响；对于异常值处理，我们运用统计学中的 </w:t>
      </w:r>
      <m:oMath>
        <m:r>
          <m:rPr/>
          <w:rPr>
            <w:rFonts w:hint="eastAsia" w:ascii="Cambria Math" w:hAnsi="Cambria Math" w:eastAsia="宋体" w:cs="宋体"/>
            <w:sz w:val="24"/>
            <w:szCs w:val="24"/>
          </w:rPr>
          <m:t>3σ</m:t>
        </m:r>
      </m:oMath>
      <w:r>
        <w:rPr>
          <w:rFonts w:hint="eastAsia" w:ascii="宋体" w:hAnsi="宋体" w:eastAsia="宋体" w:cs="宋体"/>
          <w:sz w:val="24"/>
          <w:szCs w:val="24"/>
        </w:rPr>
        <w:t xml:space="preserve"> 原则，识别并处理超出正常波动范围的极端数据，避免个别异常值对整体分析结果的干扰；最后完成数据时间对齐，由于融资融券业务始于 2010 年 3 月 31 日，为保证分析对象的时间一致性，我们将所有数据的分析周期统一设定为 2010 年 3 月 31 日至 2022 年 6 月 17 日，与融资融券业务开展周期保持同步，确保杠杆资金与市场走势的联动分析具有合理的时间维度支撑。经过上述预处理步骤，最终形成了规范、完整、一致的分析数据集，为后续可视化分析、个股对比与量化策略构建提供了可靠的数据保障。</w:t>
      </w:r>
    </w:p>
    <w:p w14:paraId="10CBDBDB">
      <w:pPr>
        <w:rPr>
          <w:rFonts w:hint="eastAsia" w:ascii="宋体" w:hAnsi="宋体" w:eastAsia="宋体" w:cs="宋体"/>
          <w:sz w:val="24"/>
          <w:szCs w:val="24"/>
        </w:rPr>
      </w:pPr>
    </w:p>
    <w:p w14:paraId="77BE1D8C">
      <w:pPr>
        <w:rPr>
          <w:rFonts w:hint="eastAsia" w:ascii="宋体" w:hAnsi="宋体" w:eastAsia="宋体" w:cs="宋体"/>
          <w:sz w:val="24"/>
          <w:szCs w:val="24"/>
        </w:rPr>
      </w:pPr>
    </w:p>
    <w:p w14:paraId="53807E84">
      <w:pPr>
        <w:outlineLvl w:val="0"/>
        <w:rPr>
          <w:rFonts w:hint="eastAsia" w:ascii="宋体" w:hAnsi="宋体" w:eastAsia="宋体" w:cs="宋体"/>
          <w:sz w:val="24"/>
          <w:szCs w:val="24"/>
        </w:rPr>
      </w:pPr>
      <w:bookmarkStart w:id="7" w:name="_Toc216767934"/>
      <w:r>
        <w:rPr>
          <w:rFonts w:hint="eastAsia" w:ascii="宋体" w:hAnsi="宋体" w:eastAsia="宋体" w:cs="宋体"/>
          <w:sz w:val="24"/>
          <w:szCs w:val="24"/>
        </w:rPr>
        <w:t>四、可视化分析</w:t>
      </w:r>
      <w:bookmarkEnd w:id="7"/>
    </w:p>
    <w:p w14:paraId="662BB958">
      <w:pPr>
        <w:outlineLvl w:val="0"/>
        <w:rPr>
          <w:rFonts w:hint="eastAsia" w:ascii="宋体" w:hAnsi="宋体" w:eastAsia="宋体" w:cs="宋体"/>
          <w:sz w:val="24"/>
          <w:szCs w:val="24"/>
        </w:rPr>
      </w:pPr>
    </w:p>
    <w:p w14:paraId="03827522">
      <w:pPr>
        <w:outlineLvl w:val="1"/>
        <w:rPr>
          <w:rFonts w:hint="eastAsia" w:ascii="宋体" w:hAnsi="宋体" w:eastAsia="宋体" w:cs="宋体"/>
          <w:sz w:val="24"/>
          <w:szCs w:val="24"/>
        </w:rPr>
      </w:pPr>
      <w:bookmarkStart w:id="8" w:name="_Toc216767935"/>
      <w:r>
        <w:rPr>
          <w:rFonts w:hint="eastAsia" w:ascii="宋体" w:hAnsi="宋体" w:eastAsia="宋体" w:cs="宋体"/>
          <w:sz w:val="24"/>
          <w:szCs w:val="24"/>
        </w:rPr>
        <w:t>4.1 沪深指数日/周/月线走势分析</w:t>
      </w:r>
      <w:bookmarkEnd w:id="8"/>
    </w:p>
    <w:p w14:paraId="3ED45166">
      <w:pPr>
        <w:ind w:firstLine="480" w:firstLineChars="200"/>
        <w:rPr>
          <w:rFonts w:hint="eastAsia" w:ascii="宋体" w:hAnsi="宋体" w:eastAsia="宋体" w:cs="宋体"/>
          <w:sz w:val="24"/>
          <w:szCs w:val="24"/>
        </w:rPr>
      </w:pPr>
      <w:r>
        <w:rPr>
          <w:rFonts w:hint="eastAsia" w:ascii="宋体" w:hAnsi="宋体" w:eastAsia="宋体" w:cs="宋体"/>
          <w:sz w:val="24"/>
          <w:szCs w:val="24"/>
        </w:rPr>
        <w:t>接下来，我们通过不同时间维度的价格信息，分析沪深指数的日线、周线、月线走势，这样能辅助我们判断股票的变化趋势。日K线代表股价一天的走势，周K线代表股价一周的走势，月K线代表股价一个月的走势，三者记录的都是股价的变化。日K线侧重关注短期股票走势，适配短线交易；周K线能过滤掉日线的日内波动干扰，聚焦中期的趋势节奏；月K线能找准长期价值区间，是长期趋势的望远镜。</w:t>
      </w:r>
    </w:p>
    <w:p w14:paraId="72438ACC">
      <w:pPr>
        <w:rPr>
          <w:rFonts w:hint="eastAsia" w:ascii="宋体" w:hAnsi="宋体" w:eastAsia="宋体" w:cs="宋体"/>
          <w:sz w:val="24"/>
          <w:szCs w:val="24"/>
        </w:rPr>
      </w:pPr>
      <w:r>
        <w:rPr>
          <w:rFonts w:hint="eastAsia" w:ascii="宋体" w:hAnsi="宋体" w:eastAsia="宋体" w:cs="宋体"/>
          <w:sz w:val="24"/>
          <w:szCs w:val="24"/>
        </w:rPr>
        <w:t>因为收盘价是最后周期内交易结束的最终成交价格，它经过整个周期的多空对抗，收盘价更具有研究意义。我们选取收盘价来绘制日线、周线、月线：</w:t>
      </w:r>
    </w:p>
    <w:p w14:paraId="59F424F2">
      <w:pPr>
        <w:rPr>
          <w:rFonts w:hint="eastAsia" w:ascii="宋体" w:hAnsi="宋体" w:eastAsia="宋体" w:cs="宋体"/>
          <w:sz w:val="24"/>
          <w:szCs w:val="24"/>
        </w:rPr>
      </w:pPr>
    </w:p>
    <w:p w14:paraId="24309EA9">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433320" cy="1472565"/>
            <wp:effectExtent l="0" t="0" r="5080" b="3810"/>
            <wp:docPr id="2" name="图片 2" descr="指数多频率走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指数多频率走势图"/>
                    <pic:cNvPicPr>
                      <a:picLocks noChangeAspect="1"/>
                    </pic:cNvPicPr>
                  </pic:nvPicPr>
                  <pic:blipFill>
                    <a:blip r:embed="rId11"/>
                    <a:stretch>
                      <a:fillRect/>
                    </a:stretch>
                  </pic:blipFill>
                  <pic:spPr>
                    <a:xfrm>
                      <a:off x="0" y="0"/>
                      <a:ext cx="2433320" cy="1472565"/>
                    </a:xfrm>
                    <a:prstGeom prst="rect">
                      <a:avLst/>
                    </a:prstGeom>
                  </pic:spPr>
                </pic:pic>
              </a:graphicData>
            </a:graphic>
          </wp:inline>
        </w:drawing>
      </w:r>
    </w:p>
    <w:p w14:paraId="5CB1D9F3">
      <w:pPr>
        <w:jc w:val="center"/>
        <w:rPr>
          <w:rFonts w:hint="eastAsia" w:ascii="宋体" w:hAnsi="宋体" w:eastAsia="宋体" w:cs="宋体"/>
          <w:sz w:val="24"/>
          <w:szCs w:val="24"/>
        </w:rPr>
      </w:pPr>
    </w:p>
    <w:p w14:paraId="78437842">
      <w:pPr>
        <w:ind w:firstLine="480" w:firstLineChars="200"/>
        <w:rPr>
          <w:rFonts w:hint="eastAsia" w:ascii="宋体" w:hAnsi="宋体" w:eastAsia="宋体" w:cs="宋体"/>
          <w:sz w:val="24"/>
          <w:szCs w:val="24"/>
        </w:rPr>
      </w:pPr>
      <w:r>
        <w:rPr>
          <w:rFonts w:hint="eastAsia" w:ascii="宋体" w:hAnsi="宋体" w:eastAsia="宋体" w:cs="宋体"/>
          <w:sz w:val="24"/>
          <w:szCs w:val="24"/>
        </w:rPr>
        <w:t>以上是K线图可视化结果，完整呈现2010-2022年沪深市场的周期特征差异。我们分别从日线图、周线图、月线图来剖析可视化分析结果：</w:t>
      </w:r>
    </w:p>
    <w:p w14:paraId="4F696507">
      <w:pPr>
        <w:numPr>
          <w:ilvl w:val="0"/>
          <w:numId w:val="4"/>
        </w:numPr>
        <w:rPr>
          <w:rFonts w:hint="eastAsia" w:ascii="宋体" w:hAnsi="宋体" w:eastAsia="宋体" w:cs="宋体"/>
          <w:sz w:val="24"/>
          <w:szCs w:val="24"/>
        </w:rPr>
      </w:pPr>
      <w:r>
        <w:rPr>
          <w:rFonts w:hint="eastAsia" w:ascii="宋体" w:hAnsi="宋体" w:eastAsia="宋体" w:cs="宋体"/>
          <w:sz w:val="24"/>
          <w:szCs w:val="24"/>
        </w:rPr>
        <w:t>日线图：深证成指2015年峰值接近18000点，但后续回调幅度大，同样，2020年呈现快速涨跌特征，短期波动剧烈。沪市指数在2000-4000点区间小幅波动，短期走势稳健。</w:t>
      </w:r>
    </w:p>
    <w:p w14:paraId="19558A7F">
      <w:pPr>
        <w:numPr>
          <w:ilvl w:val="0"/>
          <w:numId w:val="4"/>
        </w:numPr>
        <w:jc w:val="left"/>
        <w:rPr>
          <w:rFonts w:hint="eastAsia" w:ascii="宋体" w:hAnsi="宋体" w:eastAsia="宋体" w:cs="宋体"/>
          <w:sz w:val="24"/>
          <w:szCs w:val="24"/>
        </w:rPr>
      </w:pPr>
      <w:r>
        <w:rPr>
          <w:rFonts w:hint="eastAsia" w:ascii="宋体" w:hAnsi="宋体" w:eastAsia="宋体" w:cs="宋体"/>
          <w:sz w:val="24"/>
          <w:szCs w:val="24"/>
        </w:rPr>
        <w:t>周线图：从图中能看到牛市起点是2014年，牛市顶点是2015年。熊市底部是2018年，反弹起点是2020年。深圳成指的中期涨跌幅是沪市的数倍，牛市涨得更猛、调整跌得更深。</w:t>
      </w:r>
    </w:p>
    <w:p w14:paraId="01AEF286">
      <w:pPr>
        <w:numPr>
          <w:ilvl w:val="0"/>
          <w:numId w:val="4"/>
        </w:numPr>
        <w:rPr>
          <w:rFonts w:hint="eastAsia" w:ascii="宋体" w:hAnsi="宋体" w:eastAsia="宋体" w:cs="宋体"/>
          <w:sz w:val="24"/>
          <w:szCs w:val="24"/>
        </w:rPr>
      </w:pPr>
      <w:r>
        <w:rPr>
          <w:rFonts w:hint="eastAsia" w:ascii="宋体" w:hAnsi="宋体" w:eastAsia="宋体" w:cs="宋体"/>
          <w:sz w:val="24"/>
          <w:szCs w:val="24"/>
        </w:rPr>
        <w:t>月线图：整体观察，深证成指长期呈现上行趋势，上升斜率明显更高，长期收益更显著。沪市指数走势依旧平稳，变化幅度不大，长期收益弹性弱。</w:t>
      </w:r>
    </w:p>
    <w:p w14:paraId="2F9A9DA0">
      <w:pPr>
        <w:rPr>
          <w:rFonts w:hint="eastAsia" w:ascii="宋体" w:hAnsi="宋体" w:eastAsia="宋体" w:cs="宋体"/>
          <w:sz w:val="24"/>
          <w:szCs w:val="24"/>
        </w:rPr>
      </w:pPr>
    </w:p>
    <w:p w14:paraId="599DDDA4">
      <w:pPr>
        <w:outlineLvl w:val="1"/>
        <w:rPr>
          <w:rFonts w:hint="eastAsia" w:ascii="宋体" w:hAnsi="宋体" w:eastAsia="宋体" w:cs="宋体"/>
          <w:sz w:val="24"/>
          <w:szCs w:val="24"/>
        </w:rPr>
      </w:pPr>
      <w:bookmarkStart w:id="9" w:name="_Toc216767936"/>
      <w:r>
        <w:rPr>
          <w:rFonts w:hint="eastAsia" w:ascii="宋体" w:hAnsi="宋体" w:eastAsia="宋体" w:cs="宋体"/>
          <w:sz w:val="24"/>
          <w:szCs w:val="24"/>
        </w:rPr>
        <w:t>4.2沪深指数相关性分析</w:t>
      </w:r>
      <w:bookmarkEnd w:id="9"/>
    </w:p>
    <w:p w14:paraId="184CB73E">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675" cy="2247900"/>
            <wp:effectExtent l="0" t="0" r="3175" b="0"/>
            <wp:docPr id="3" name="图片 3" descr="指数相关性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指数相关性分析图"/>
                    <pic:cNvPicPr>
                      <a:picLocks noChangeAspect="1"/>
                    </pic:cNvPicPr>
                  </pic:nvPicPr>
                  <pic:blipFill>
                    <a:blip r:embed="rId12"/>
                    <a:stretch>
                      <a:fillRect/>
                    </a:stretch>
                  </pic:blipFill>
                  <pic:spPr>
                    <a:xfrm>
                      <a:off x="0" y="0"/>
                      <a:ext cx="5273675" cy="2247900"/>
                    </a:xfrm>
                    <a:prstGeom prst="rect">
                      <a:avLst/>
                    </a:prstGeom>
                  </pic:spPr>
                </pic:pic>
              </a:graphicData>
            </a:graphic>
          </wp:inline>
        </w:drawing>
      </w:r>
    </w:p>
    <w:p w14:paraId="4968943E">
      <w:pPr>
        <w:rPr>
          <w:rFonts w:hint="eastAsia" w:ascii="宋体" w:hAnsi="宋体" w:eastAsia="宋体" w:cs="宋体"/>
          <w:sz w:val="24"/>
          <w:szCs w:val="24"/>
        </w:rPr>
      </w:pPr>
    </w:p>
    <w:p w14:paraId="521E971F">
      <w:pPr>
        <w:ind w:firstLine="480" w:firstLineChars="200"/>
        <w:rPr>
          <w:rFonts w:hint="eastAsia" w:ascii="宋体" w:hAnsi="宋体" w:eastAsia="宋体" w:cs="宋体"/>
          <w:sz w:val="24"/>
          <w:szCs w:val="24"/>
        </w:rPr>
      </w:pPr>
      <w:r>
        <w:rPr>
          <w:rFonts w:hint="eastAsia" w:ascii="宋体" w:hAnsi="宋体" w:eastAsia="宋体" w:cs="宋体"/>
          <w:sz w:val="24"/>
          <w:szCs w:val="24"/>
        </w:rPr>
        <w:t>左侧子图绿色散点是沪深交易价组合，右侧子图红色散点是沪深日收益率组合。沪深指数收盘价相关系数是0.8269，反映长期价格走势是同步的，呈现同涨同跌的线性特征。虽然趋势一致，但是深市收益弹性更高，沪市更稳健，投资者可根据特性再做决策。日收益率相关系数是0.9267，说明涨跌幅度高度同步，因为两市涨跌几乎一致，所以投资参考效果不太显著。</w:t>
      </w:r>
    </w:p>
    <w:p w14:paraId="7A9852AE">
      <w:pPr>
        <w:rPr>
          <w:rFonts w:hint="eastAsia" w:ascii="宋体" w:hAnsi="宋体" w:eastAsia="宋体" w:cs="宋体"/>
          <w:sz w:val="24"/>
          <w:szCs w:val="24"/>
        </w:rPr>
      </w:pPr>
    </w:p>
    <w:p w14:paraId="7D88245A">
      <w:pPr>
        <w:rPr>
          <w:rFonts w:hint="eastAsia" w:ascii="宋体" w:hAnsi="宋体" w:eastAsia="宋体" w:cs="宋体"/>
          <w:sz w:val="24"/>
          <w:szCs w:val="24"/>
        </w:rPr>
      </w:pPr>
    </w:p>
    <w:p w14:paraId="40A8D5EC">
      <w:pPr>
        <w:outlineLvl w:val="1"/>
        <w:rPr>
          <w:rFonts w:hint="eastAsia" w:ascii="宋体" w:hAnsi="宋体" w:eastAsia="宋体" w:cs="宋体"/>
          <w:sz w:val="24"/>
          <w:szCs w:val="24"/>
        </w:rPr>
      </w:pPr>
      <w:bookmarkStart w:id="10" w:name="_Toc216767937"/>
      <w:r>
        <w:rPr>
          <w:rFonts w:hint="eastAsia" w:ascii="宋体" w:hAnsi="宋体" w:eastAsia="宋体" w:cs="宋体"/>
          <w:sz w:val="24"/>
          <w:szCs w:val="24"/>
        </w:rPr>
        <w:t>4.3融资融券市场分析</w:t>
      </w:r>
      <w:bookmarkEnd w:id="10"/>
    </w:p>
    <w:p w14:paraId="52974351">
      <w:pPr>
        <w:outlineLvl w:val="1"/>
        <w:rPr>
          <w:rFonts w:hint="eastAsia" w:ascii="宋体" w:hAnsi="宋体" w:eastAsia="宋体" w:cs="宋体"/>
          <w:sz w:val="24"/>
          <w:szCs w:val="24"/>
        </w:rPr>
      </w:pPr>
    </w:p>
    <w:p w14:paraId="28238A30">
      <w:pPr>
        <w:outlineLvl w:val="2"/>
        <w:rPr>
          <w:rFonts w:hint="eastAsia" w:ascii="宋体" w:hAnsi="宋体" w:eastAsia="宋体" w:cs="宋体"/>
          <w:sz w:val="24"/>
          <w:szCs w:val="24"/>
        </w:rPr>
      </w:pPr>
      <w:bookmarkStart w:id="11" w:name="_Toc216767938"/>
      <w:r>
        <w:rPr>
          <w:rFonts w:hint="eastAsia" w:ascii="宋体" w:hAnsi="宋体" w:eastAsia="宋体" w:cs="宋体"/>
          <w:sz w:val="24"/>
          <w:szCs w:val="24"/>
        </w:rPr>
        <w:t>4.3.1融资融券规模趋势分析</w:t>
      </w:r>
      <w:bookmarkEnd w:id="11"/>
    </w:p>
    <w:p w14:paraId="30503499">
      <w:pPr>
        <w:widowControl/>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bidi="ar"/>
        </w:rPr>
        <w:t>融资交易也称为“买入多头交易”。一般来说，当股票预期上涨时，融资交易者向有资格提前出售的证券经纪人或其他金融机构申请融资，并向其支付一定比例的保证金，并存入监管账户，或将其信用账户中的证券作为担保。合格经纪人将核查客户的信用评级和资产状况，并向合格的融资交易员提供资金。投资者在市场上想要买入相应标的证券时，资格券商会替融资客户向证券交易所的登记结算机构垫付购买所需资金。待股价上涨时，融资交易者会卖出标的证券并向资格券商还本付息。</w:t>
      </w:r>
    </w:p>
    <w:p w14:paraId="090E231D">
      <w:pPr>
        <w:widowControl/>
        <w:ind w:firstLine="48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融券交易又被称为“卖空交易”。一般来说，融券交易者在预期股票价格发生下跌时，会提前向具有融券业务资格的券商借入标的股票，“借入”方式是投资者向交易机构进行申请，券商在证券交易所的结算机构交易时向投资者“垫付”标的证券。但同样交易者也需向监管账户存入保证金，或者以信用账户中的证券或其他资产作为担保。借入股票后投资者随即在高价出售，卖出标的股票的资金作为融券业务的抵押款被存放在资格券商机构。在到期前的约定时间内，融券交易者需买入合同约定的相应品种和数量的标的股票进行平仓，归还给资格券商，并向券商支付一定约定比例的融券利息作为“卖空交易”的费用。</w:t>
      </w:r>
    </w:p>
    <w:p w14:paraId="2EFD0099">
      <w:pPr>
        <w:widowControl/>
        <w:ind w:firstLine="480"/>
        <w:jc w:val="left"/>
        <w:rPr>
          <w:rFonts w:hint="eastAsia" w:ascii="宋体" w:hAnsi="宋体" w:eastAsia="宋体" w:cs="宋体"/>
          <w:sz w:val="24"/>
          <w:szCs w:val="24"/>
        </w:rPr>
      </w:pPr>
    </w:p>
    <w:p w14:paraId="7E65D3A4">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5271770" cy="2997835"/>
            <wp:effectExtent l="0" t="0" r="5080" b="2540"/>
            <wp:docPr id="4" name="图片 4" descr="融资融券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融资融券趋势图"/>
                    <pic:cNvPicPr>
                      <a:picLocks noChangeAspect="1"/>
                    </pic:cNvPicPr>
                  </pic:nvPicPr>
                  <pic:blipFill>
                    <a:blip r:embed="rId13"/>
                    <a:stretch>
                      <a:fillRect/>
                    </a:stretch>
                  </pic:blipFill>
                  <pic:spPr>
                    <a:xfrm>
                      <a:off x="0" y="0"/>
                      <a:ext cx="5271770" cy="2997835"/>
                    </a:xfrm>
                    <a:prstGeom prst="rect">
                      <a:avLst/>
                    </a:prstGeom>
                  </pic:spPr>
                </pic:pic>
              </a:graphicData>
            </a:graphic>
          </wp:inline>
        </w:drawing>
      </w:r>
    </w:p>
    <w:p w14:paraId="2793B95A">
      <w:pPr>
        <w:widowControl/>
        <w:jc w:val="left"/>
        <w:rPr>
          <w:rFonts w:hint="eastAsia" w:ascii="宋体" w:hAnsi="宋体" w:eastAsia="宋体" w:cs="宋体"/>
          <w:color w:val="000000"/>
          <w:kern w:val="0"/>
          <w:sz w:val="24"/>
          <w:szCs w:val="24"/>
          <w:lang w:bidi="ar"/>
        </w:rPr>
      </w:pPr>
    </w:p>
    <w:p w14:paraId="23753F0E">
      <w:pPr>
        <w:widowControl/>
        <w:ind w:firstLine="480" w:firstLineChars="20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根据融资融券余额趋势图分析，从2019年到2021年整体趋势均呈现上升趋势，不管是融资还是融券，在市场上都呈现活跃现象，说明市场交易热度在变高，投资者愿意借钱买股，对市场行情充满信息。2022年阶段信用交易规模缩小，说明投资者参与市场的积极性下降，避免承担信仰交易风险。</w:t>
      </w:r>
    </w:p>
    <w:p w14:paraId="6400B4F4">
      <w:pPr>
        <w:widowControl/>
        <w:ind w:firstLine="1680" w:firstLineChars="70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融资净买入=“当日融资买入金额 - 当日融资偿还金额</w:t>
      </w:r>
    </w:p>
    <w:p w14:paraId="0A2AEFAD">
      <w:pPr>
        <w:ind w:firstLine="420"/>
        <w:rPr>
          <w:rFonts w:hint="eastAsia" w:ascii="宋体" w:hAnsi="宋体" w:eastAsia="宋体" w:cs="宋体"/>
          <w:sz w:val="24"/>
          <w:szCs w:val="24"/>
        </w:rPr>
      </w:pPr>
      <w:r>
        <w:rPr>
          <w:rFonts w:hint="eastAsia" w:ascii="宋体" w:hAnsi="宋体" w:eastAsia="宋体" w:cs="宋体"/>
          <w:sz w:val="24"/>
          <w:szCs w:val="24"/>
        </w:rPr>
        <w:t>根据融资净买入趋势图，单日净买入大幅度波动，比如2020年出现单日净买入峰值，反映市场情绪变化无常，2020年是短期市场狂热。20日移动平均是根据当日融资净买入额计算的，我们计算20日移动平均是用来过滤日数据的短期噪音来看中期趋势，2020-2021年持续上涨，2022年开始下降，反映投资者对市场的中期看涨信心由高变低的心理历程。</w:t>
      </w:r>
    </w:p>
    <w:p w14:paraId="2C397D11">
      <w:pPr>
        <w:rPr>
          <w:rFonts w:hint="eastAsia" w:ascii="宋体" w:hAnsi="宋体" w:eastAsia="宋体" w:cs="宋体"/>
          <w:sz w:val="24"/>
          <w:szCs w:val="24"/>
        </w:rPr>
      </w:pPr>
    </w:p>
    <w:p w14:paraId="3C19E25F">
      <w:pPr>
        <w:outlineLvl w:val="2"/>
        <w:rPr>
          <w:rFonts w:hint="eastAsia" w:ascii="宋体" w:hAnsi="宋体" w:eastAsia="宋体" w:cs="宋体"/>
          <w:sz w:val="24"/>
          <w:szCs w:val="24"/>
        </w:rPr>
        <w:sectPr>
          <w:footerReference r:id="rId4" w:type="default"/>
          <w:pgSz w:w="11906" w:h="16838"/>
          <w:pgMar w:top="1440" w:right="1800" w:bottom="1440" w:left="1800" w:header="851" w:footer="992" w:gutter="0"/>
          <w:cols w:space="425" w:num="1"/>
          <w:docGrid w:type="lines" w:linePitch="312" w:charSpace="0"/>
        </w:sectPr>
      </w:pPr>
      <w:bookmarkStart w:id="12" w:name="_Toc216767939"/>
    </w:p>
    <w:p w14:paraId="347FB803">
      <w:pPr>
        <w:outlineLvl w:val="2"/>
        <w:rPr>
          <w:rFonts w:hint="eastAsia" w:ascii="宋体" w:hAnsi="宋体" w:eastAsia="宋体" w:cs="宋体"/>
          <w:sz w:val="24"/>
          <w:szCs w:val="24"/>
        </w:rPr>
      </w:pPr>
      <w:r>
        <w:rPr>
          <w:rFonts w:hint="eastAsia" w:ascii="宋体" w:hAnsi="宋体" w:eastAsia="宋体" w:cs="宋体"/>
          <w:sz w:val="24"/>
          <w:szCs w:val="24"/>
        </w:rPr>
        <w:t>4.3.2融资融券与市场走势联动分析</w:t>
      </w:r>
      <w:bookmarkEnd w:id="12"/>
    </w:p>
    <w:p w14:paraId="5808BE6C">
      <w:pPr>
        <w:ind w:firstLine="420"/>
        <w:rPr>
          <w:rFonts w:hint="eastAsia" w:ascii="宋体" w:hAnsi="宋体" w:eastAsia="宋体" w:cs="宋体"/>
          <w:sz w:val="24"/>
          <w:szCs w:val="24"/>
        </w:rPr>
        <w:sectPr>
          <w:type w:val="continuous"/>
          <w:pgSz w:w="11906" w:h="16838"/>
          <w:pgMar w:top="1440" w:right="1800" w:bottom="1440" w:left="1800" w:header="851" w:footer="992" w:gutter="0"/>
          <w:cols w:equalWidth="0" w:num="3">
            <w:col w:w="2485" w:space="425"/>
            <w:col w:w="2485" w:space="425"/>
            <w:col w:w="2485"/>
          </w:cols>
          <w:docGrid w:type="lines" w:linePitch="312" w:charSpace="0"/>
        </w:sectPr>
      </w:pPr>
    </w:p>
    <w:p w14:paraId="22C325D5">
      <w:pPr>
        <w:ind w:firstLine="420"/>
        <w:rPr>
          <w:rFonts w:hint="eastAsia" w:ascii="宋体" w:hAnsi="宋体" w:eastAsia="宋体" w:cs="宋体"/>
          <w:sz w:val="24"/>
          <w:szCs w:val="24"/>
        </w:rPr>
      </w:pPr>
      <w:r>
        <w:rPr>
          <w:rFonts w:hint="eastAsia" w:ascii="宋体" w:hAnsi="宋体" w:eastAsia="宋体" w:cs="宋体"/>
          <w:sz w:val="24"/>
          <w:szCs w:val="24"/>
        </w:rPr>
        <w:t>融资是影响市场走势的重要资金力量，融资余额越高说明市场整体借钱炒股的资金就越多，投资者对市场有足够的信心。同时我们还增加了融资净买入量和指数涨跌幅，当净买入量为正时说明融资资金在流入，为负则是流出，由于单日净买入受多种因素影响，我们添加20日移动平均是为了过滤噪音，反映中期资金流向：</w:t>
      </w:r>
    </w:p>
    <w:p w14:paraId="166E4D1B">
      <w:pPr>
        <w:ind w:firstLine="420"/>
        <w:rPr>
          <w:rFonts w:hint="eastAsia" w:ascii="宋体" w:hAnsi="宋体" w:eastAsia="宋体" w:cs="宋体"/>
          <w:sz w:val="24"/>
          <w:szCs w:val="24"/>
        </w:rPr>
      </w:pPr>
    </w:p>
    <w:p w14:paraId="338F0E95">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12340" cy="1503680"/>
            <wp:effectExtent l="0" t="0" r="6985" b="1270"/>
            <wp:docPr id="1" name="图片 1" descr="融资融券与市场走势联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融资融券与市场走势联动图"/>
                    <pic:cNvPicPr>
                      <a:picLocks noChangeAspect="1"/>
                    </pic:cNvPicPr>
                  </pic:nvPicPr>
                  <pic:blipFill>
                    <a:blip r:embed="rId14"/>
                    <a:stretch>
                      <a:fillRect/>
                    </a:stretch>
                  </pic:blipFill>
                  <pic:spPr>
                    <a:xfrm>
                      <a:off x="0" y="0"/>
                      <a:ext cx="2212340" cy="1503680"/>
                    </a:xfrm>
                    <a:prstGeom prst="rect">
                      <a:avLst/>
                    </a:prstGeom>
                  </pic:spPr>
                </pic:pic>
              </a:graphicData>
            </a:graphic>
          </wp:inline>
        </w:drawing>
      </w:r>
    </w:p>
    <w:p w14:paraId="64C433FF">
      <w:pPr>
        <w:jc w:val="center"/>
        <w:rPr>
          <w:rFonts w:hint="eastAsia" w:ascii="宋体" w:hAnsi="宋体" w:eastAsia="宋体" w:cs="宋体"/>
          <w:sz w:val="24"/>
          <w:szCs w:val="24"/>
        </w:rPr>
      </w:pPr>
    </w:p>
    <w:p w14:paraId="237BED6A">
      <w:pPr>
        <w:ind w:firstLine="480" w:firstLineChars="200"/>
        <w:rPr>
          <w:rFonts w:hint="eastAsia" w:ascii="宋体" w:hAnsi="宋体" w:eastAsia="宋体" w:cs="宋体"/>
          <w:sz w:val="24"/>
          <w:szCs w:val="24"/>
        </w:rPr>
      </w:pPr>
      <w:r>
        <w:rPr>
          <w:rFonts w:hint="eastAsia" w:ascii="宋体" w:hAnsi="宋体" w:eastAsia="宋体" w:cs="宋体"/>
          <w:sz w:val="24"/>
          <w:szCs w:val="24"/>
        </w:rPr>
        <w:t>沪深合计指数代表市场价格的整体趋势，融资余额体现借钱炒股的资金规模，上图中两曲线大方向完全一致。2019-03到2021-02指数上升，融资余额也同步上升，说明融资资金流入能够推高指数，指数上涨能吸引更多的投资者融入资金；2021.02到2022.04指数下降，融资余额也随之下行，体现指数下跌导致融资资金平仓，资金流出压制指数。</w:t>
      </w:r>
    </w:p>
    <w:p w14:paraId="3894A6AF">
      <w:pPr>
        <w:ind w:firstLine="480" w:firstLineChars="200"/>
        <w:rPr>
          <w:rFonts w:hint="eastAsia" w:ascii="宋体" w:hAnsi="宋体" w:eastAsia="宋体" w:cs="宋体"/>
          <w:sz w:val="24"/>
          <w:szCs w:val="24"/>
        </w:rPr>
      </w:pPr>
      <w:r>
        <w:rPr>
          <w:rFonts w:hint="eastAsia" w:ascii="宋体" w:hAnsi="宋体" w:eastAsia="宋体" w:cs="宋体"/>
          <w:sz w:val="24"/>
          <w:szCs w:val="24"/>
        </w:rPr>
        <w:t>融资净买入量的变化直接带动指数涨跌幅同向变化。融资净买入反映资金强度，当融资净买入维持在0.8万亿以上时涨跌幅大概率也在零轴上方，反之回落时涨跌幅容易跌破零轴。</w:t>
      </w:r>
    </w:p>
    <w:p w14:paraId="39CB4F6E">
      <w:pPr>
        <w:ind w:firstLine="480" w:firstLineChars="200"/>
        <w:rPr>
          <w:rFonts w:hint="eastAsia" w:ascii="宋体" w:hAnsi="宋体" w:eastAsia="宋体" w:cs="宋体"/>
          <w:sz w:val="24"/>
          <w:szCs w:val="24"/>
        </w:rPr>
      </w:pPr>
    </w:p>
    <w:p w14:paraId="47B31038">
      <w:pPr>
        <w:ind w:firstLine="480" w:firstLineChars="200"/>
        <w:rPr>
          <w:rFonts w:hint="eastAsia" w:ascii="宋体" w:hAnsi="宋体" w:eastAsia="宋体" w:cs="宋体"/>
          <w:sz w:val="24"/>
          <w:szCs w:val="24"/>
        </w:rPr>
      </w:pPr>
    </w:p>
    <w:p w14:paraId="3B820558">
      <w:pPr>
        <w:numPr>
          <w:ilvl w:val="0"/>
          <w:numId w:val="5"/>
        </w:numPr>
        <w:outlineLvl w:val="0"/>
        <w:rPr>
          <w:rFonts w:hint="eastAsia" w:ascii="宋体" w:hAnsi="宋体" w:eastAsia="宋体" w:cs="宋体"/>
          <w:sz w:val="24"/>
          <w:szCs w:val="24"/>
        </w:rPr>
      </w:pPr>
      <w:bookmarkStart w:id="13" w:name="_Toc216767940"/>
      <w:r>
        <w:rPr>
          <w:rFonts w:hint="eastAsia" w:ascii="宋体" w:hAnsi="宋体" w:eastAsia="宋体" w:cs="宋体"/>
          <w:sz w:val="24"/>
          <w:szCs w:val="24"/>
        </w:rPr>
        <w:t>个股对比</w:t>
      </w:r>
      <w:bookmarkEnd w:id="13"/>
    </w:p>
    <w:p w14:paraId="6D7B9D59">
      <w:pPr>
        <w:ind w:firstLine="480" w:firstLineChars="200"/>
        <w:rPr>
          <w:rFonts w:hint="eastAsia" w:ascii="宋体" w:hAnsi="宋体" w:eastAsia="宋体" w:cs="宋体"/>
          <w:sz w:val="24"/>
          <w:szCs w:val="24"/>
        </w:rPr>
      </w:pPr>
      <w:r>
        <w:rPr>
          <w:rFonts w:hint="eastAsia" w:ascii="宋体" w:hAnsi="宋体" w:eastAsia="宋体" w:cs="宋体"/>
          <w:sz w:val="24"/>
          <w:szCs w:val="24"/>
        </w:rPr>
        <w:t>现在，我们通过Python的Tu share库来获取个股浦发银行的股票数据并保存为.CSV格式文件，然后我们通过对个股的可视化分析来揭示个股与市场整体的联动规律，以便做好风险防控和策略设计：</w:t>
      </w:r>
    </w:p>
    <w:p w14:paraId="3F0693AE">
      <w:pPr>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312035" cy="1948815"/>
            <wp:effectExtent l="0" t="0" r="2540" b="381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5"/>
                    <a:stretch>
                      <a:fillRect/>
                    </a:stretch>
                  </pic:blipFill>
                  <pic:spPr>
                    <a:xfrm>
                      <a:off x="0" y="0"/>
                      <a:ext cx="2312035" cy="194881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2421255" cy="1935480"/>
            <wp:effectExtent l="0" t="0" r="7620" b="762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6"/>
                    <a:stretch>
                      <a:fillRect/>
                    </a:stretch>
                  </pic:blipFill>
                  <pic:spPr>
                    <a:xfrm>
                      <a:off x="0" y="0"/>
                      <a:ext cx="2421255" cy="1935480"/>
                    </a:xfrm>
                    <a:prstGeom prst="rect">
                      <a:avLst/>
                    </a:prstGeom>
                    <a:noFill/>
                    <a:ln>
                      <a:noFill/>
                    </a:ln>
                  </pic:spPr>
                </pic:pic>
              </a:graphicData>
            </a:graphic>
          </wp:inline>
        </w:drawing>
      </w:r>
    </w:p>
    <w:p w14:paraId="7A5C4297">
      <w:pPr>
        <w:ind w:firstLine="480" w:firstLineChars="200"/>
        <w:rPr>
          <w:rFonts w:hint="eastAsia" w:ascii="宋体" w:hAnsi="宋体" w:eastAsia="宋体" w:cs="宋体"/>
          <w:sz w:val="24"/>
          <w:szCs w:val="24"/>
        </w:rPr>
      </w:pPr>
    </w:p>
    <w:p w14:paraId="40738687">
      <w:pPr>
        <w:outlineLvl w:val="1"/>
        <w:rPr>
          <w:rFonts w:hint="eastAsia" w:ascii="宋体" w:hAnsi="宋体" w:eastAsia="宋体" w:cs="宋体"/>
          <w:sz w:val="24"/>
          <w:szCs w:val="24"/>
        </w:rPr>
      </w:pPr>
      <w:bookmarkStart w:id="14" w:name="_Toc216767941"/>
      <w:r>
        <w:rPr>
          <w:rFonts w:hint="eastAsia" w:ascii="宋体" w:hAnsi="宋体" w:eastAsia="宋体" w:cs="宋体"/>
          <w:sz w:val="24"/>
          <w:szCs w:val="24"/>
        </w:rPr>
        <w:t>5.1 个股与大盘的相关性分析</w:t>
      </w:r>
      <w:bookmarkEnd w:id="14"/>
    </w:p>
    <w:p w14:paraId="2AFCC3A2">
      <w:pPr>
        <w:ind w:firstLine="420"/>
        <w:rPr>
          <w:rFonts w:hint="eastAsia" w:ascii="宋体" w:hAnsi="宋体" w:eastAsia="宋体" w:cs="宋体"/>
          <w:sz w:val="24"/>
          <w:szCs w:val="24"/>
        </w:rPr>
      </w:pPr>
      <w:r>
        <w:rPr>
          <w:rFonts w:hint="eastAsia" w:ascii="宋体" w:hAnsi="宋体" w:eastAsia="宋体" w:cs="宋体"/>
          <w:sz w:val="24"/>
          <w:szCs w:val="24"/>
        </w:rPr>
        <w:t>基于之前对沪深指数的数据预处理，我们对浦发银行数据同样进行时间格式、缺失值、时间范围、数据对齐等预处理操作，得到沪市指数共7694条数据，深证成指共7603条数据，浦发银行共2931条数据，其中我们将沪深指数通过每列数据相加取均值进行合并后得到2930条市场数据，然后计算大盘和浦发银行的涨跌幅和相关系数并将他们进行可视化。</w:t>
      </w:r>
    </w:p>
    <w:p w14:paraId="3DE9E87B">
      <w:pPr>
        <w:ind w:firstLine="420"/>
        <w:rPr>
          <w:rFonts w:hint="eastAsia" w:ascii="宋体" w:hAnsi="宋体" w:eastAsia="宋体" w:cs="宋体"/>
          <w:sz w:val="24"/>
          <w:szCs w:val="24"/>
        </w:rPr>
      </w:pPr>
      <w:r>
        <w:rPr>
          <w:rFonts w:hint="eastAsia" w:ascii="宋体" w:hAnsi="宋体" w:eastAsia="宋体" w:cs="宋体"/>
          <w:sz w:val="24"/>
          <w:szCs w:val="24"/>
        </w:rPr>
        <w:t>首先我们对浦发银行和大盘做整体相关系数分析，整体相关系数大于0.7属于高度正相关，说明浦发银行走势与大盘同步性强，受市场整体影响很大；整体相关系数在0.3和0.7之间属于中度正相关，说明浦发银行走势与大盘有一定同步性，但存在独立行情；整体相关系数在0.3之下属于弱相关，说明浦发银行走势与大盘同步性弱，独立行情特征明显。我们得出相关系数为0.3633属于中度正相关，说明大盘整体趋势会对浦发银行有一定的影响但影响力度中等，不会出现完全跟涨跟跌的现象，浦发银行的股价走势更多受自身因主导。所以，对于个股数据既需要关注大盘整体环境，也不能忽视自己实际情况。</w:t>
      </w:r>
    </w:p>
    <w:p w14:paraId="51888D3A">
      <w:pPr>
        <w:ind w:firstLine="420"/>
        <w:rPr>
          <w:rFonts w:hint="eastAsia" w:ascii="宋体" w:hAnsi="宋体" w:eastAsia="宋体" w:cs="宋体"/>
          <w:sz w:val="24"/>
          <w:szCs w:val="24"/>
        </w:rPr>
      </w:pPr>
      <w:r>
        <w:rPr>
          <w:rFonts w:hint="eastAsia" w:ascii="宋体" w:hAnsi="宋体" w:eastAsia="宋体" w:cs="宋体"/>
          <w:sz w:val="24"/>
          <w:szCs w:val="24"/>
        </w:rPr>
        <w:t>接着，设置时限为60日，我们通过60日相关系数更细致地分析波动规律来判断浦发银行受大盘影响程度和自身因素影响程度。当滚动系数大于0.5，说明浦发银行跟着大盘走；当滚动系数小于0.3，说明浦发银行受自身行业逻辑影响较大。</w:t>
      </w:r>
    </w:p>
    <w:p w14:paraId="3C5BBC95">
      <w:pPr>
        <w:ind w:firstLine="420"/>
        <w:rPr>
          <w:rFonts w:hint="eastAsia" w:ascii="宋体" w:hAnsi="宋体" w:eastAsia="宋体" w:cs="宋体"/>
          <w:sz w:val="24"/>
          <w:szCs w:val="24"/>
        </w:rPr>
      </w:pPr>
    </w:p>
    <w:p w14:paraId="7E9EBC0A">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56735" cy="1924685"/>
            <wp:effectExtent l="0" t="0" r="5715" b="8890"/>
            <wp:docPr id="5" name="图片 5" descr="浦发银行_大盘相关性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浦发银行_大盘相关性分析图"/>
                    <pic:cNvPicPr>
                      <a:picLocks noChangeAspect="1"/>
                    </pic:cNvPicPr>
                  </pic:nvPicPr>
                  <pic:blipFill>
                    <a:blip r:embed="rId17"/>
                    <a:stretch>
                      <a:fillRect/>
                    </a:stretch>
                  </pic:blipFill>
                  <pic:spPr>
                    <a:xfrm>
                      <a:off x="0" y="0"/>
                      <a:ext cx="4356735" cy="1924685"/>
                    </a:xfrm>
                    <a:prstGeom prst="rect">
                      <a:avLst/>
                    </a:prstGeom>
                  </pic:spPr>
                </pic:pic>
              </a:graphicData>
            </a:graphic>
          </wp:inline>
        </w:drawing>
      </w:r>
    </w:p>
    <w:p w14:paraId="10B0B9D2">
      <w:pPr>
        <w:jc w:val="center"/>
        <w:rPr>
          <w:rFonts w:hint="eastAsia" w:ascii="宋体" w:hAnsi="宋体" w:eastAsia="宋体" w:cs="宋体"/>
          <w:sz w:val="24"/>
          <w:szCs w:val="24"/>
        </w:rPr>
      </w:pPr>
    </w:p>
    <w:p w14:paraId="2AA0C0E6">
      <w:pPr>
        <w:ind w:firstLine="480" w:firstLineChars="200"/>
        <w:rPr>
          <w:rFonts w:hint="eastAsia" w:ascii="宋体" w:hAnsi="宋体" w:eastAsia="宋体" w:cs="宋体"/>
          <w:sz w:val="24"/>
          <w:szCs w:val="24"/>
        </w:rPr>
      </w:pPr>
      <w:r>
        <w:rPr>
          <w:rFonts w:hint="eastAsia" w:ascii="宋体" w:hAnsi="宋体" w:eastAsia="宋体" w:cs="宋体"/>
          <w:sz w:val="24"/>
          <w:szCs w:val="24"/>
        </w:rPr>
        <w:t>上图中相关系数大于0.7表示浦发走势由大盘主导，在0.3和0.7之间表示浦发走势由大盘和自身逻辑共同主导，小于0.3表示浦发走势由自身逻辑主导。根据整个图的走势来看，浦发银行相关系数集中在0.3和0.7之间，说明由大盘和自身逻辑共同主导。少数阶段如2011年到2012年，浦发银行受大盘影响更大，由大盘主导。特殊阶段如2016年到2018年，浦发银行根据自身逻辑驱动，几乎不受大盘影响。</w:t>
      </w:r>
    </w:p>
    <w:p w14:paraId="7414F55E">
      <w:pPr>
        <w:ind w:firstLine="480" w:firstLineChars="200"/>
        <w:rPr>
          <w:rFonts w:hint="eastAsia" w:ascii="宋体" w:hAnsi="宋体" w:eastAsia="宋体" w:cs="宋体"/>
          <w:sz w:val="24"/>
          <w:szCs w:val="24"/>
        </w:rPr>
      </w:pPr>
    </w:p>
    <w:p w14:paraId="631611BB">
      <w:pPr>
        <w:outlineLvl w:val="1"/>
        <w:rPr>
          <w:rFonts w:hint="eastAsia" w:ascii="宋体" w:hAnsi="宋体" w:eastAsia="宋体" w:cs="宋体"/>
          <w:sz w:val="24"/>
          <w:szCs w:val="24"/>
        </w:rPr>
      </w:pPr>
      <w:bookmarkStart w:id="15" w:name="_Toc216767942"/>
      <w:r>
        <w:rPr>
          <w:rFonts w:hint="eastAsia" w:ascii="宋体" w:hAnsi="宋体" w:eastAsia="宋体" w:cs="宋体"/>
          <w:color w:val="000000"/>
          <w:kern w:val="0"/>
          <w:sz w:val="24"/>
          <w:szCs w:val="24"/>
          <w:lang w:bidi="ar"/>
        </w:rPr>
        <w:t>5.2</w:t>
      </w:r>
      <w:r>
        <w:rPr>
          <w:rFonts w:hint="eastAsia" w:ascii="宋体" w:hAnsi="宋体" w:eastAsia="宋体" w:cs="宋体"/>
          <w:sz w:val="24"/>
          <w:szCs w:val="24"/>
        </w:rPr>
        <w:t>个股的MACD指标可视化</w:t>
      </w:r>
      <w:bookmarkEnd w:id="15"/>
    </w:p>
    <w:p w14:paraId="56FEB425">
      <w:pPr>
        <w:widowControl/>
        <w:ind w:firstLine="480" w:firstLineChars="200"/>
        <w:jc w:val="left"/>
        <w:rPr>
          <w:rFonts w:hint="eastAsia" w:ascii="宋体" w:hAnsi="宋体" w:eastAsia="宋体" w:cs="宋体"/>
          <w:color w:val="000000"/>
          <w:kern w:val="0"/>
          <w:sz w:val="24"/>
          <w:szCs w:val="24"/>
          <w:lang w:bidi="ar"/>
        </w:rPr>
      </w:pPr>
      <w:r>
        <w:rPr>
          <w:rFonts w:hint="eastAsia" w:ascii="宋体" w:hAnsi="宋体" w:eastAsia="宋体" w:cs="宋体"/>
          <w:sz w:val="24"/>
          <w:szCs w:val="24"/>
        </w:rPr>
        <w:t>MACD即平滑异同移动平均线，这是一项利用短期移动平均线与长期移动平均线之间的聚合与分离状况，对买进卖出时机，做出研判的技术指标。MACD三个指标DIF快线、DEA慢线、MACD柱状图分别对应短期趋势、中长期趋势、趋势动能。</w:t>
      </w:r>
      <w:r>
        <w:rPr>
          <w:rFonts w:hint="eastAsia" w:ascii="宋体" w:hAnsi="宋体" w:eastAsia="宋体" w:cs="宋体"/>
          <w:color w:val="000000"/>
          <w:kern w:val="0"/>
          <w:sz w:val="24"/>
          <w:szCs w:val="24"/>
          <w:lang w:bidi="ar"/>
        </w:rPr>
        <w:t xml:space="preserve">根据 MACD 指标的设计原理，DIF、DEA 两条线及 MACD 柱状垂线与当中的零轴构成整个 MACD指标图形。MACD 由 DIF 与 DEA 差值的两倍构成。当 MACD 小于零时，其在零轴下方。而当 MACD 大于零时，其在零轴上方。     </w:t>
      </w:r>
    </w:p>
    <w:p w14:paraId="60B31311">
      <w:pPr>
        <w:widowControl/>
        <w:ind w:firstLine="480" w:firstLineChars="20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                             </w:t>
      </w:r>
    </w:p>
    <w:p w14:paraId="50EF4EBD">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465830" cy="2644775"/>
            <wp:effectExtent l="0" t="0" r="1270" b="3175"/>
            <wp:docPr id="6" name="图片 6" descr="浦发银行_大盘MACD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浦发银行_大盘MACD对比图"/>
                    <pic:cNvPicPr>
                      <a:picLocks noChangeAspect="1"/>
                    </pic:cNvPicPr>
                  </pic:nvPicPr>
                  <pic:blipFill>
                    <a:blip r:embed="rId18"/>
                    <a:stretch>
                      <a:fillRect/>
                    </a:stretch>
                  </pic:blipFill>
                  <pic:spPr>
                    <a:xfrm>
                      <a:off x="0" y="0"/>
                      <a:ext cx="3465830" cy="2644775"/>
                    </a:xfrm>
                    <a:prstGeom prst="rect">
                      <a:avLst/>
                    </a:prstGeom>
                  </pic:spPr>
                </pic:pic>
              </a:graphicData>
            </a:graphic>
          </wp:inline>
        </w:drawing>
      </w:r>
    </w:p>
    <w:p w14:paraId="25D96F41">
      <w:pPr>
        <w:jc w:val="center"/>
        <w:rPr>
          <w:rFonts w:hint="eastAsia" w:ascii="宋体" w:hAnsi="宋体" w:eastAsia="宋体" w:cs="宋体"/>
          <w:sz w:val="24"/>
          <w:szCs w:val="24"/>
        </w:rPr>
      </w:pPr>
    </w:p>
    <w:p w14:paraId="07AC8127">
      <w:pPr>
        <w:ind w:firstLine="480" w:firstLineChars="200"/>
        <w:rPr>
          <w:rFonts w:hint="eastAsia" w:ascii="宋体" w:hAnsi="宋体" w:eastAsia="宋体" w:cs="宋体"/>
          <w:sz w:val="24"/>
          <w:szCs w:val="24"/>
        </w:rPr>
      </w:pPr>
      <w:r>
        <w:rPr>
          <w:rFonts w:hint="eastAsia" w:ascii="宋体" w:hAnsi="宋体" w:eastAsia="宋体" w:cs="宋体"/>
          <w:sz w:val="24"/>
          <w:szCs w:val="24"/>
        </w:rPr>
        <w:t>以上是可视化结果，红柱变长代表上涨动能在增强，绿柱变长代表下跌动能在增强。金叉代表股价的上涨动能在积累，市场从“空头”转向“多头”，死叉代表股价的下跌动能在积累，市场从“多头”转向“空头”。</w:t>
      </w:r>
    </w:p>
    <w:p w14:paraId="7FE37C7F">
      <w:pPr>
        <w:ind w:firstLine="480" w:firstLineChars="200"/>
        <w:rPr>
          <w:rFonts w:hint="eastAsia" w:ascii="宋体" w:hAnsi="宋体" w:eastAsia="宋体" w:cs="宋体"/>
          <w:sz w:val="24"/>
          <w:szCs w:val="24"/>
        </w:rPr>
      </w:pPr>
      <w:r>
        <w:rPr>
          <w:rFonts w:hint="eastAsia" w:ascii="宋体" w:hAnsi="宋体" w:eastAsia="宋体" w:cs="宋体"/>
          <w:sz w:val="24"/>
          <w:szCs w:val="24"/>
        </w:rPr>
        <w:t>上图浦发银行的MACD指标中DIF和DEA数值始终在-1和1之间波动幅度很小，它的红柱和绿柱交替频繁且没有连续三个月以上的同色柱，说明浦发银行股价趋势性极弱并且涨跌动能持续时间很短,几乎都是涨几天就跌，跌几天就涨。金叉和死叉出现的非常密集，几乎一两个月切换一次，说明浦发银行的短期趋势切换很快，有比较强的自身因素的影响。</w:t>
      </w:r>
    </w:p>
    <w:p w14:paraId="552C1157">
      <w:pPr>
        <w:ind w:firstLine="480" w:firstLineChars="200"/>
        <w:rPr>
          <w:rFonts w:hint="eastAsia" w:ascii="宋体" w:hAnsi="宋体" w:eastAsia="宋体" w:cs="宋体"/>
          <w:sz w:val="24"/>
          <w:szCs w:val="24"/>
        </w:rPr>
      </w:pPr>
      <w:r>
        <w:rPr>
          <w:rFonts w:hint="eastAsia" w:ascii="宋体" w:hAnsi="宋体" w:eastAsia="宋体" w:cs="宋体"/>
          <w:sz w:val="24"/>
          <w:szCs w:val="24"/>
        </w:rPr>
        <w:t>下图沪深大盘的MACD指标中DIF和DEA的数值波动范围很大且在2014-2015年出现连续的红柱，2018年出现连续的绿柱，说明大盘存在长期单边上涨或下跌的行情并且大盘的涨跌动能持续时间长。金叉和死叉的间隔时间较长，说明大盘的短期趋势切换慢。</w:t>
      </w:r>
    </w:p>
    <w:p w14:paraId="16A22487">
      <w:pPr>
        <w:ind w:firstLine="480" w:firstLineChars="200"/>
        <w:rPr>
          <w:rFonts w:hint="eastAsia" w:ascii="宋体" w:hAnsi="宋体" w:eastAsia="宋体" w:cs="宋体"/>
          <w:sz w:val="24"/>
          <w:szCs w:val="24"/>
        </w:rPr>
      </w:pPr>
      <w:r>
        <w:rPr>
          <w:rFonts w:hint="eastAsia" w:ascii="宋体" w:hAnsi="宋体" w:eastAsia="宋体" w:cs="宋体"/>
          <w:sz w:val="24"/>
          <w:szCs w:val="24"/>
        </w:rPr>
        <w:t>两个图对比，浦发银行的波动幅度远小于大盘，但是浦发银行频发切换金叉和死叉，这说明浦发银行会受大盘趋势的影响，但是也会受自身逻辑主导，与之前相关性结果一致。</w:t>
      </w:r>
    </w:p>
    <w:p w14:paraId="6560146D">
      <w:pPr>
        <w:rPr>
          <w:rFonts w:hint="eastAsia" w:ascii="宋体" w:hAnsi="宋体" w:eastAsia="宋体" w:cs="宋体"/>
          <w:sz w:val="24"/>
          <w:szCs w:val="24"/>
        </w:rPr>
      </w:pPr>
    </w:p>
    <w:p w14:paraId="31FC7B15">
      <w:pPr>
        <w:rPr>
          <w:rFonts w:hint="eastAsia" w:ascii="宋体" w:hAnsi="宋体" w:eastAsia="宋体" w:cs="宋体"/>
          <w:sz w:val="24"/>
          <w:szCs w:val="24"/>
        </w:rPr>
      </w:pPr>
    </w:p>
    <w:p w14:paraId="550A6E22">
      <w:pPr>
        <w:numPr>
          <w:ilvl w:val="0"/>
          <w:numId w:val="5"/>
        </w:numPr>
        <w:outlineLvl w:val="0"/>
        <w:rPr>
          <w:rFonts w:hint="eastAsia" w:ascii="宋体" w:hAnsi="宋体" w:eastAsia="宋体" w:cs="宋体"/>
          <w:sz w:val="24"/>
          <w:szCs w:val="24"/>
        </w:rPr>
      </w:pPr>
      <w:bookmarkStart w:id="16" w:name="_Toc216767943"/>
      <w:r>
        <w:rPr>
          <w:rFonts w:hint="eastAsia" w:ascii="宋体" w:hAnsi="宋体" w:eastAsia="宋体" w:cs="宋体"/>
          <w:sz w:val="24"/>
          <w:szCs w:val="24"/>
        </w:rPr>
        <w:t>基于MACD指标结合PSY辅助预示的量化策略</w:t>
      </w:r>
      <w:bookmarkEnd w:id="16"/>
    </w:p>
    <w:p w14:paraId="4C88C3D6">
      <w:pPr>
        <w:outlineLvl w:val="0"/>
        <w:rPr>
          <w:rFonts w:hint="eastAsia" w:ascii="宋体" w:hAnsi="宋体" w:eastAsia="宋体" w:cs="宋体"/>
          <w:sz w:val="24"/>
          <w:szCs w:val="24"/>
        </w:rPr>
      </w:pPr>
    </w:p>
    <w:p w14:paraId="36E310A9">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sz w:val="24"/>
          <w:szCs w:val="24"/>
        </w:rPr>
        <w:t>前面已经完成了沪深指数可视化以及浦发银行与大盘的相关性分析，我们发现浦发银行股价走势与沪深指数存在一定的正相关性。基于此，现</w:t>
      </w:r>
      <w:r>
        <w:rPr>
          <w:rFonts w:hint="eastAsia" w:ascii="宋体" w:hAnsi="宋体" w:eastAsia="宋体" w:cs="宋体"/>
          <w:color w:val="000000"/>
          <w:kern w:val="0"/>
          <w:sz w:val="24"/>
          <w:szCs w:val="24"/>
          <w:lang w:bidi="ar"/>
        </w:rPr>
        <w:t>以MACD指标为指导，黄金叉出现，当即买入，死亡叉出现，当即卖出，只在黄金交叉至死亡交叉期间交易，死亡交叉至黄金交叉期间，停止一切交易。使用MACD指标结合PSY指标，</w:t>
      </w:r>
      <w:r>
        <w:rPr>
          <w:rFonts w:hint="eastAsia" w:ascii="宋体" w:hAnsi="宋体" w:eastAsia="宋体" w:cs="宋体"/>
          <w:sz w:val="24"/>
          <w:szCs w:val="24"/>
        </w:rPr>
        <w:t>目的是利用MACD的金叉和死叉信号明确浦发银行的持仓或空仓的时机，根据评估计算出年化收益率和最大回撤，</w:t>
      </w:r>
      <w:r>
        <w:rPr>
          <w:rFonts w:hint="eastAsia" w:ascii="宋体" w:hAnsi="宋体" w:eastAsia="宋体" w:cs="宋体"/>
          <w:color w:val="000000"/>
          <w:kern w:val="0"/>
          <w:sz w:val="24"/>
          <w:szCs w:val="24"/>
          <w:lang w:bidi="ar"/>
        </w:rPr>
        <w:t>PSY指标用来提前预示交叉出现，提高交叉判断准确率，把握买点和卖点。当PSY值在25以下属于超卖区间，市场情绪极度悲观，当PSY值在25到75之间属于正常区间，说明市场情绪中性，以震荡为主，当在75以上时，属于超买区间，说明市场情绪极度乐观。</w:t>
      </w:r>
    </w:p>
    <w:p w14:paraId="4002F178">
      <w:pPr>
        <w:widowControl/>
        <w:ind w:firstLine="420"/>
        <w:jc w:val="left"/>
        <w:rPr>
          <w:rFonts w:hint="eastAsia" w:ascii="宋体" w:hAnsi="宋体" w:eastAsia="宋体" w:cs="宋体"/>
          <w:color w:val="000000"/>
          <w:kern w:val="0"/>
          <w:sz w:val="24"/>
          <w:szCs w:val="24"/>
          <w:lang w:bidi="ar"/>
        </w:rPr>
      </w:pPr>
    </w:p>
    <w:p w14:paraId="4BF66CC6">
      <w:pPr>
        <w:widowControl/>
        <w:jc w:val="left"/>
        <w:outlineLvl w:val="1"/>
        <w:rPr>
          <w:rFonts w:hint="eastAsia" w:ascii="宋体" w:hAnsi="宋体" w:eastAsia="宋体" w:cs="宋体"/>
          <w:color w:val="000000"/>
          <w:kern w:val="0"/>
          <w:sz w:val="24"/>
          <w:szCs w:val="24"/>
          <w:lang w:bidi="ar"/>
        </w:rPr>
      </w:pPr>
      <w:bookmarkStart w:id="17" w:name="_Toc216767944"/>
      <w:r>
        <w:rPr>
          <w:rFonts w:hint="eastAsia" w:ascii="宋体" w:hAnsi="宋体" w:eastAsia="宋体" w:cs="宋体"/>
          <w:color w:val="000000"/>
          <w:kern w:val="0"/>
          <w:sz w:val="24"/>
          <w:szCs w:val="24"/>
          <w:lang w:bidi="ar"/>
        </w:rPr>
        <w:t>6.1  数据处理</w:t>
      </w:r>
      <w:bookmarkEnd w:id="17"/>
    </w:p>
    <w:p w14:paraId="47B7BC26">
      <w:pPr>
        <w:widowControl/>
        <w:ind w:firstLine="480" w:firstLineChars="20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我们将上沪指数和深圳成指合并成沪深合计大盘数据，然后将沪深合计大盘数据和浦发银行数据的原始列名改为含交易日时间、开盘指数、收盘指数、MACD.DIF、MACD.DEA、PSY。接着我们设置阙值为0.005后剔除不显著的金叉和死叉，最后沪深合计大盘数据剩下182个，浦发银行数据剩下105个，下面面展示前10条数据：</w:t>
      </w:r>
    </w:p>
    <w:p w14:paraId="333E2DD3">
      <w:pPr>
        <w:widowControl/>
        <w:ind w:firstLine="480" w:firstLineChars="200"/>
        <w:jc w:val="left"/>
        <w:rPr>
          <w:rFonts w:hint="eastAsia" w:ascii="宋体" w:hAnsi="宋体" w:eastAsia="宋体" w:cs="宋体"/>
          <w:color w:val="000000"/>
          <w:kern w:val="0"/>
          <w:sz w:val="24"/>
          <w:szCs w:val="24"/>
          <w:lang w:bidi="ar"/>
        </w:rPr>
      </w:pPr>
    </w:p>
    <w:p w14:paraId="7738C3C4">
      <w:pPr>
        <w:widowControl/>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69490" cy="1353820"/>
            <wp:effectExtent l="0" t="0" r="6985"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2269490" cy="1353820"/>
                    </a:xfrm>
                    <a:prstGeom prst="rect">
                      <a:avLst/>
                    </a:prstGeom>
                    <a:noFill/>
                    <a:ln>
                      <a:noFill/>
                    </a:ln>
                  </pic:spPr>
                </pic:pic>
              </a:graphicData>
            </a:graphic>
          </wp:inline>
        </w:drawing>
      </w:r>
    </w:p>
    <w:p w14:paraId="7B3C61C4">
      <w:pPr>
        <w:widowControl/>
        <w:jc w:val="center"/>
        <w:rPr>
          <w:rFonts w:hint="eastAsia" w:ascii="宋体" w:hAnsi="宋体" w:eastAsia="宋体" w:cs="宋体"/>
          <w:sz w:val="24"/>
          <w:szCs w:val="24"/>
        </w:rPr>
      </w:pPr>
      <w:r>
        <w:rPr>
          <w:rFonts w:hint="eastAsia" w:ascii="宋体" w:hAnsi="宋体" w:eastAsia="宋体" w:cs="宋体"/>
          <w:sz w:val="24"/>
          <w:szCs w:val="24"/>
        </w:rPr>
        <w:t>图一 浦发银行显著点交叉筛选结果</w:t>
      </w:r>
    </w:p>
    <w:p w14:paraId="6EB9DDEF">
      <w:pPr>
        <w:widowControl/>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376805" cy="1353185"/>
            <wp:effectExtent l="0" t="0" r="4445" b="88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2376805" cy="1353185"/>
                    </a:xfrm>
                    <a:prstGeom prst="rect">
                      <a:avLst/>
                    </a:prstGeom>
                    <a:noFill/>
                    <a:ln>
                      <a:noFill/>
                    </a:ln>
                  </pic:spPr>
                </pic:pic>
              </a:graphicData>
            </a:graphic>
          </wp:inline>
        </w:drawing>
      </w:r>
    </w:p>
    <w:p w14:paraId="6B841BBF">
      <w:pPr>
        <w:widowControl/>
        <w:jc w:val="center"/>
        <w:rPr>
          <w:rFonts w:hint="eastAsia" w:ascii="宋体" w:hAnsi="宋体" w:eastAsia="宋体" w:cs="宋体"/>
          <w:sz w:val="24"/>
          <w:szCs w:val="24"/>
        </w:rPr>
      </w:pPr>
      <w:r>
        <w:rPr>
          <w:rFonts w:hint="eastAsia" w:ascii="宋体" w:hAnsi="宋体" w:eastAsia="宋体" w:cs="宋体"/>
          <w:sz w:val="24"/>
          <w:szCs w:val="24"/>
        </w:rPr>
        <w:t>图二沪深合计大盘数据显著点交叉筛选结果</w:t>
      </w:r>
    </w:p>
    <w:p w14:paraId="52B4C2AF">
      <w:pPr>
        <w:widowControl/>
        <w:jc w:val="left"/>
        <w:rPr>
          <w:rFonts w:hint="eastAsia" w:ascii="宋体" w:hAnsi="宋体" w:eastAsia="宋体" w:cs="宋体"/>
          <w:sz w:val="24"/>
          <w:szCs w:val="24"/>
        </w:rPr>
      </w:pPr>
    </w:p>
    <w:p w14:paraId="46296D64">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数据处理过后浦发银行包含43个死亡交叉和62个黄金交叉，沪深合计大盘包含97个死亡交叉和86个黄金交叉。浦发银行和沪深合计大盘大多在25-75区间，说明市场情绪没有极端化。</w:t>
      </w:r>
    </w:p>
    <w:p w14:paraId="3E566AAC">
      <w:pPr>
        <w:widowControl/>
        <w:jc w:val="left"/>
        <w:rPr>
          <w:rFonts w:hint="eastAsia" w:ascii="宋体" w:hAnsi="宋体" w:eastAsia="宋体" w:cs="宋体"/>
          <w:color w:val="000000"/>
          <w:kern w:val="0"/>
          <w:sz w:val="24"/>
          <w:szCs w:val="24"/>
          <w:lang w:bidi="ar"/>
        </w:rPr>
      </w:pPr>
    </w:p>
    <w:p w14:paraId="14471E0E">
      <w:pPr>
        <w:widowControl/>
        <w:jc w:val="left"/>
        <w:outlineLvl w:val="1"/>
        <w:rPr>
          <w:rFonts w:hint="eastAsia" w:ascii="宋体" w:hAnsi="宋体" w:eastAsia="宋体" w:cs="宋体"/>
          <w:color w:val="000000"/>
          <w:kern w:val="0"/>
          <w:sz w:val="24"/>
          <w:szCs w:val="24"/>
          <w:lang w:bidi="ar"/>
        </w:rPr>
      </w:pPr>
      <w:bookmarkStart w:id="18" w:name="_Toc216767945"/>
      <w:r>
        <w:rPr>
          <w:rFonts w:hint="eastAsia" w:ascii="宋体" w:hAnsi="宋体" w:eastAsia="宋体" w:cs="宋体"/>
          <w:color w:val="000000"/>
          <w:kern w:val="0"/>
          <w:sz w:val="24"/>
          <w:szCs w:val="24"/>
          <w:lang w:bidi="ar"/>
        </w:rPr>
        <w:t>6.2 收益率计算</w:t>
      </w:r>
      <w:bookmarkEnd w:id="18"/>
    </w:p>
    <w:p w14:paraId="0758C333">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2255520" cy="1694815"/>
            <wp:effectExtent l="0" t="0" r="1905" b="635"/>
            <wp:docPr id="9" name="图片 9" descr="沪深合计大盘_收益率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沪深合计大盘_收益率分析图"/>
                    <pic:cNvPicPr>
                      <a:picLocks noChangeAspect="1"/>
                    </pic:cNvPicPr>
                  </pic:nvPicPr>
                  <pic:blipFill>
                    <a:blip r:embed="rId21"/>
                    <a:srcRect l="181" t="33741" r="-1219" b="32778"/>
                    <a:stretch>
                      <a:fillRect/>
                    </a:stretch>
                  </pic:blipFill>
                  <pic:spPr>
                    <a:xfrm>
                      <a:off x="0" y="0"/>
                      <a:ext cx="2255520" cy="1694815"/>
                    </a:xfrm>
                    <a:prstGeom prst="rect">
                      <a:avLst/>
                    </a:prstGeom>
                  </pic:spPr>
                </pic:pic>
              </a:graphicData>
            </a:graphic>
          </wp:inline>
        </w:drawing>
      </w:r>
      <w:r>
        <w:rPr>
          <w:rFonts w:hint="eastAsia" w:ascii="宋体" w:hAnsi="宋体" w:eastAsia="宋体" w:cs="宋体"/>
          <w:color w:val="000000"/>
          <w:kern w:val="0"/>
          <w:sz w:val="24"/>
          <w:szCs w:val="24"/>
          <w:lang w:bidi="ar"/>
        </w:rPr>
        <w:t xml:space="preserve">    </w:t>
      </w:r>
      <w:r>
        <w:rPr>
          <w:rFonts w:hint="eastAsia" w:ascii="宋体" w:hAnsi="宋体" w:eastAsia="宋体" w:cs="宋体"/>
          <w:color w:val="000000"/>
          <w:kern w:val="0"/>
          <w:sz w:val="24"/>
          <w:szCs w:val="24"/>
          <w:lang w:bidi="ar"/>
        </w:rPr>
        <w:drawing>
          <wp:inline distT="0" distB="0" distL="114300" distR="114300">
            <wp:extent cx="2490470" cy="1683385"/>
            <wp:effectExtent l="0" t="0" r="0" b="2540"/>
            <wp:docPr id="10" name="图片 10" descr="浦发银行个股_收益率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浦发银行个股_收益率分析图"/>
                    <pic:cNvPicPr>
                      <a:picLocks noChangeAspect="1"/>
                    </pic:cNvPicPr>
                  </pic:nvPicPr>
                  <pic:blipFill>
                    <a:blip r:embed="rId22"/>
                    <a:srcRect l="-479" t="34397" r="-1313" b="32821"/>
                    <a:stretch>
                      <a:fillRect/>
                    </a:stretch>
                  </pic:blipFill>
                  <pic:spPr>
                    <a:xfrm>
                      <a:off x="0" y="0"/>
                      <a:ext cx="2490470" cy="1683385"/>
                    </a:xfrm>
                    <a:prstGeom prst="rect">
                      <a:avLst/>
                    </a:prstGeom>
                  </pic:spPr>
                </pic:pic>
              </a:graphicData>
            </a:graphic>
          </wp:inline>
        </w:drawing>
      </w:r>
    </w:p>
    <w:p w14:paraId="73453345">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图一 沪深大盘收益率走势             图二 浦发银行收益率走势</w:t>
      </w:r>
    </w:p>
    <w:p w14:paraId="40CCE3AA">
      <w:pPr>
        <w:widowControl/>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09800" cy="958215"/>
            <wp:effectExtent l="0" t="0" r="0" b="381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3"/>
                    <a:stretch>
                      <a:fillRect/>
                    </a:stretch>
                  </pic:blipFill>
                  <pic:spPr>
                    <a:xfrm>
                      <a:off x="0" y="0"/>
                      <a:ext cx="2209800" cy="958215"/>
                    </a:xfrm>
                    <a:prstGeom prst="rect">
                      <a:avLst/>
                    </a:prstGeom>
                    <a:noFill/>
                    <a:ln>
                      <a:noFill/>
                    </a:ln>
                  </pic:spPr>
                </pic:pic>
              </a:graphicData>
            </a:graphic>
          </wp:inline>
        </w:drawing>
      </w:r>
      <w:r>
        <w:rPr>
          <w:rFonts w:hint="eastAsia" w:ascii="宋体" w:hAnsi="宋体" w:eastAsia="宋体" w:cs="宋体"/>
          <w:sz w:val="24"/>
          <w:szCs w:val="24"/>
        </w:rPr>
        <w:t xml:space="preserve">     </w:t>
      </w:r>
      <w:r>
        <w:rPr>
          <w:rFonts w:hint="eastAsia" w:ascii="宋体" w:hAnsi="宋体" w:eastAsia="宋体" w:cs="宋体"/>
          <w:sz w:val="24"/>
          <w:szCs w:val="24"/>
        </w:rPr>
        <w:drawing>
          <wp:inline distT="0" distB="0" distL="114300" distR="114300">
            <wp:extent cx="2423795" cy="1028700"/>
            <wp:effectExtent l="0" t="0" r="508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4"/>
                    <a:stretch>
                      <a:fillRect/>
                    </a:stretch>
                  </pic:blipFill>
                  <pic:spPr>
                    <a:xfrm>
                      <a:off x="0" y="0"/>
                      <a:ext cx="2423795" cy="1028700"/>
                    </a:xfrm>
                    <a:prstGeom prst="rect">
                      <a:avLst/>
                    </a:prstGeom>
                    <a:noFill/>
                    <a:ln>
                      <a:noFill/>
                    </a:ln>
                  </pic:spPr>
                </pic:pic>
              </a:graphicData>
            </a:graphic>
          </wp:inline>
        </w:drawing>
      </w:r>
    </w:p>
    <w:p w14:paraId="0F46C581">
      <w:pPr>
        <w:widowControl/>
        <w:jc w:val="left"/>
        <w:rPr>
          <w:rFonts w:hint="eastAsia" w:ascii="宋体" w:hAnsi="宋体" w:eastAsia="宋体" w:cs="宋体"/>
          <w:sz w:val="24"/>
          <w:szCs w:val="24"/>
        </w:rPr>
      </w:pPr>
      <w:r>
        <w:rPr>
          <w:rFonts w:hint="eastAsia" w:ascii="宋体" w:hAnsi="宋体" w:eastAsia="宋体" w:cs="宋体"/>
          <w:sz w:val="24"/>
          <w:szCs w:val="24"/>
        </w:rPr>
        <w:t xml:space="preserve">   图三 沪深大盘收益率汇总表         图四 浦发银行收益率汇总表</w:t>
      </w:r>
    </w:p>
    <w:p w14:paraId="020A35DD">
      <w:pPr>
        <w:widowControl/>
        <w:jc w:val="left"/>
        <w:rPr>
          <w:rFonts w:hint="eastAsia" w:ascii="宋体" w:hAnsi="宋体" w:eastAsia="宋体" w:cs="宋体"/>
          <w:sz w:val="24"/>
          <w:szCs w:val="24"/>
        </w:rPr>
      </w:pPr>
    </w:p>
    <w:p w14:paraId="2913AA0D">
      <w:pPr>
        <w:widowControl/>
        <w:ind w:firstLine="480" w:firstLineChars="20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从平均收益率上看，沪深大盘波动范围较小，策略的收益稳定性较强，而单股交易波动极大，虽然存在少数高收益交易但更多交易面临深度亏损，策略风险极高。</w:t>
      </w:r>
    </w:p>
    <w:p w14:paraId="726F736F">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从平均持有时间上看，浦发银行的资金持有时间极长且波动很大，而沪深大盘持仓周期短且波动均匀。</w:t>
      </w:r>
    </w:p>
    <w:p w14:paraId="38AC6ACD">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从年化收益率上看，采用大盘策略远远领先于单股的收益率。单股策略不仅不能盈利还导致本金缩水，策略不适用。</w:t>
      </w:r>
    </w:p>
    <w:p w14:paraId="498A0F84">
      <w:pPr>
        <w:widowControl/>
        <w:ind w:firstLine="420"/>
        <w:jc w:val="left"/>
        <w:rPr>
          <w:rFonts w:hint="eastAsia" w:ascii="宋体" w:hAnsi="宋体" w:eastAsia="宋体" w:cs="宋体"/>
          <w:color w:val="000000"/>
          <w:kern w:val="0"/>
          <w:sz w:val="24"/>
          <w:szCs w:val="24"/>
          <w:lang w:bidi="ar"/>
        </w:rPr>
      </w:pPr>
    </w:p>
    <w:p w14:paraId="50821B03">
      <w:pPr>
        <w:widowControl/>
        <w:jc w:val="left"/>
        <w:outlineLvl w:val="1"/>
        <w:rPr>
          <w:rFonts w:hint="eastAsia" w:ascii="宋体" w:hAnsi="宋体" w:eastAsia="宋体" w:cs="宋体"/>
          <w:color w:val="000000"/>
          <w:kern w:val="0"/>
          <w:sz w:val="24"/>
          <w:szCs w:val="24"/>
          <w:lang w:bidi="ar"/>
        </w:rPr>
      </w:pPr>
      <w:bookmarkStart w:id="19" w:name="_Toc216767946"/>
      <w:r>
        <w:rPr>
          <w:rFonts w:hint="eastAsia" w:ascii="宋体" w:hAnsi="宋体" w:eastAsia="宋体" w:cs="宋体"/>
          <w:color w:val="000000"/>
          <w:kern w:val="0"/>
          <w:sz w:val="24"/>
          <w:szCs w:val="24"/>
          <w:lang w:bidi="ar"/>
        </w:rPr>
        <w:t>6.3 策略设计</w:t>
      </w:r>
      <w:bookmarkEnd w:id="19"/>
    </w:p>
    <w:p w14:paraId="7669AF78">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总的来说，沪深合计大盘策略的可使用性远高于单股，但是，单股单笔收益率高达过59.26%，这远远大于大盘收益率的峰值，所以，结合沪深大盘的稳健性和浦发银行高波动性特征设计混合策略，基于生成的沪深大盘和浦发银行交易明细，按照70%大盘和30%单股的资金仓位比例计算年化收益率和最大回撤：</w:t>
      </w:r>
    </w:p>
    <w:p w14:paraId="509A142F">
      <w:pPr>
        <w:widowControl/>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971675" cy="1109345"/>
            <wp:effectExtent l="0" t="0" r="0" b="508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5"/>
                    <a:stretch>
                      <a:fillRect/>
                    </a:stretch>
                  </pic:blipFill>
                  <pic:spPr>
                    <a:xfrm>
                      <a:off x="0" y="0"/>
                      <a:ext cx="1971675" cy="1109345"/>
                    </a:xfrm>
                    <a:prstGeom prst="rect">
                      <a:avLst/>
                    </a:prstGeom>
                    <a:noFill/>
                    <a:ln>
                      <a:noFill/>
                    </a:ln>
                  </pic:spPr>
                </pic:pic>
              </a:graphicData>
            </a:graphic>
          </wp:inline>
        </w:drawing>
      </w:r>
      <w:r>
        <w:rPr>
          <w:rFonts w:hint="eastAsia" w:ascii="宋体" w:hAnsi="宋体" w:eastAsia="宋体" w:cs="宋体"/>
          <w:sz w:val="24"/>
          <w:szCs w:val="24"/>
        </w:rPr>
        <w:t xml:space="preserve">     </w:t>
      </w:r>
      <w:r>
        <w:rPr>
          <w:rFonts w:hint="eastAsia" w:ascii="宋体" w:hAnsi="宋体" w:eastAsia="宋体" w:cs="宋体"/>
          <w:sz w:val="24"/>
          <w:szCs w:val="24"/>
        </w:rPr>
        <w:drawing>
          <wp:inline distT="0" distB="0" distL="114300" distR="114300">
            <wp:extent cx="2150745" cy="1141730"/>
            <wp:effectExtent l="0" t="0" r="1905" b="127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6"/>
                    <a:srcRect t="10350"/>
                    <a:stretch>
                      <a:fillRect/>
                    </a:stretch>
                  </pic:blipFill>
                  <pic:spPr>
                    <a:xfrm>
                      <a:off x="0" y="0"/>
                      <a:ext cx="2150745" cy="1141730"/>
                    </a:xfrm>
                    <a:prstGeom prst="rect">
                      <a:avLst/>
                    </a:prstGeom>
                    <a:noFill/>
                    <a:ln>
                      <a:noFill/>
                    </a:ln>
                  </pic:spPr>
                </pic:pic>
              </a:graphicData>
            </a:graphic>
          </wp:inline>
        </w:drawing>
      </w:r>
    </w:p>
    <w:p w14:paraId="1B66A1B1">
      <w:pPr>
        <w:widowControl/>
        <w:jc w:val="left"/>
        <w:rPr>
          <w:rFonts w:hint="eastAsia" w:ascii="宋体" w:hAnsi="宋体" w:eastAsia="宋体" w:cs="宋体"/>
          <w:sz w:val="24"/>
          <w:szCs w:val="24"/>
        </w:rPr>
      </w:pPr>
    </w:p>
    <w:p w14:paraId="42053C65">
      <w:pPr>
        <w:widowControl/>
        <w:ind w:firstLine="480" w:firstLineChars="200"/>
        <w:jc w:val="left"/>
        <w:rPr>
          <w:rFonts w:hint="eastAsia" w:ascii="宋体" w:hAnsi="宋体" w:eastAsia="宋体" w:cs="宋体"/>
          <w:sz w:val="24"/>
          <w:szCs w:val="24"/>
        </w:rPr>
      </w:pPr>
      <w:r>
        <w:rPr>
          <w:rFonts w:hint="eastAsia" w:ascii="宋体" w:hAnsi="宋体" w:eastAsia="宋体" w:cs="宋体"/>
          <w:sz w:val="24"/>
          <w:szCs w:val="24"/>
        </w:rPr>
        <w:t>有以上结果显示，将累计收益率转化为年化收益率为11.8%，优于市场平均水平10.61%，并且远远大于单股的年化收益率-0.64%，而且它的最大回撤为8.81%，属于风险度极小的回撤。总体观察，我们的混合策略更有胜于单盘策略，为了验证策略的科学性即混合策略的单笔收益率的均值是否显著不等于0，如果能拒绝“收益率=0”的原假设，说明策略收益不是随机波动的，而是说明收益为正是具有长期性的。现在我们对混合数据进行t检验：</w:t>
      </w:r>
    </w:p>
    <w:p w14:paraId="5DEAC90E">
      <w:pPr>
        <w:widowControl/>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444750" cy="1777365"/>
            <wp:effectExtent l="0" t="0" r="3175" b="381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7"/>
                    <a:stretch>
                      <a:fillRect/>
                    </a:stretch>
                  </pic:blipFill>
                  <pic:spPr>
                    <a:xfrm>
                      <a:off x="0" y="0"/>
                      <a:ext cx="2444750" cy="177736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2282190" cy="1764665"/>
            <wp:effectExtent l="0" t="0" r="3810" b="698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8"/>
                    <a:stretch>
                      <a:fillRect/>
                    </a:stretch>
                  </pic:blipFill>
                  <pic:spPr>
                    <a:xfrm>
                      <a:off x="0" y="0"/>
                      <a:ext cx="2282190" cy="1764665"/>
                    </a:xfrm>
                    <a:prstGeom prst="rect">
                      <a:avLst/>
                    </a:prstGeom>
                    <a:noFill/>
                    <a:ln>
                      <a:noFill/>
                    </a:ln>
                  </pic:spPr>
                </pic:pic>
              </a:graphicData>
            </a:graphic>
          </wp:inline>
        </w:drawing>
      </w:r>
    </w:p>
    <w:p w14:paraId="132FFA2D">
      <w:pPr>
        <w:widowControl/>
        <w:ind w:firstLine="480" w:firstLineChars="200"/>
        <w:jc w:val="left"/>
        <w:rPr>
          <w:rFonts w:hint="eastAsia" w:ascii="宋体" w:hAnsi="宋体" w:eastAsia="宋体" w:cs="宋体"/>
          <w:sz w:val="24"/>
          <w:szCs w:val="24"/>
        </w:rPr>
      </w:pPr>
      <w:r>
        <w:rPr>
          <w:rFonts w:hint="eastAsia" w:ascii="宋体" w:hAnsi="宋体" w:eastAsia="宋体" w:cs="宋体"/>
          <w:sz w:val="24"/>
          <w:szCs w:val="24"/>
        </w:rPr>
        <w:t>以上是t检验的结果展示，单笔收益率均值约为0267，标准差为1.89，说明该混合数据收益率存在均值小而波动大的特征，最后导致p值大于0.05无法拒绝原假设。</w:t>
      </w:r>
    </w:p>
    <w:p w14:paraId="41B4EE4D">
      <w:pPr>
        <w:widowControl/>
        <w:jc w:val="left"/>
        <w:rPr>
          <w:rFonts w:hint="eastAsia" w:ascii="宋体" w:hAnsi="宋体" w:eastAsia="宋体" w:cs="宋体"/>
          <w:sz w:val="24"/>
          <w:szCs w:val="24"/>
        </w:rPr>
      </w:pPr>
    </w:p>
    <w:p w14:paraId="4E5C53C9">
      <w:pPr>
        <w:widowControl/>
        <w:jc w:val="left"/>
        <w:rPr>
          <w:rFonts w:hint="eastAsia" w:ascii="宋体" w:hAnsi="宋体" w:eastAsia="宋体" w:cs="宋体"/>
          <w:sz w:val="24"/>
          <w:szCs w:val="24"/>
        </w:rPr>
      </w:pPr>
    </w:p>
    <w:p w14:paraId="1924B916">
      <w:pPr>
        <w:widowControl/>
        <w:jc w:val="left"/>
        <w:rPr>
          <w:rFonts w:hint="eastAsia" w:ascii="宋体" w:hAnsi="宋体" w:eastAsia="宋体" w:cs="宋体"/>
          <w:sz w:val="24"/>
          <w:szCs w:val="24"/>
        </w:rPr>
      </w:pPr>
    </w:p>
    <w:p w14:paraId="30DD37C4">
      <w:pPr>
        <w:widowControl/>
        <w:jc w:val="left"/>
        <w:rPr>
          <w:rFonts w:hint="eastAsia" w:ascii="宋体" w:hAnsi="宋体" w:eastAsia="宋体" w:cs="宋体"/>
          <w:sz w:val="24"/>
          <w:szCs w:val="24"/>
        </w:rPr>
      </w:pPr>
    </w:p>
    <w:p w14:paraId="31B12B94">
      <w:pPr>
        <w:widowControl/>
        <w:jc w:val="left"/>
        <w:rPr>
          <w:rFonts w:hint="eastAsia" w:ascii="宋体" w:hAnsi="宋体" w:eastAsia="宋体" w:cs="宋体"/>
          <w:sz w:val="24"/>
          <w:szCs w:val="24"/>
        </w:rPr>
      </w:pPr>
    </w:p>
    <w:p w14:paraId="74E18A47">
      <w:pPr>
        <w:widowControl/>
        <w:jc w:val="left"/>
        <w:rPr>
          <w:rFonts w:hint="eastAsia" w:ascii="宋体" w:hAnsi="宋体" w:eastAsia="宋体" w:cs="宋体"/>
          <w:sz w:val="24"/>
          <w:szCs w:val="24"/>
        </w:rPr>
      </w:pPr>
    </w:p>
    <w:p w14:paraId="1FD127FC">
      <w:pPr>
        <w:widowControl/>
        <w:jc w:val="left"/>
        <w:rPr>
          <w:rFonts w:hint="eastAsia" w:ascii="宋体" w:hAnsi="宋体" w:eastAsia="宋体" w:cs="宋体"/>
          <w:sz w:val="24"/>
          <w:szCs w:val="24"/>
        </w:rPr>
      </w:pPr>
    </w:p>
    <w:p w14:paraId="73BEC4C6">
      <w:pPr>
        <w:widowControl/>
        <w:jc w:val="left"/>
        <w:rPr>
          <w:rFonts w:hint="eastAsia" w:ascii="宋体" w:hAnsi="宋体" w:eastAsia="宋体" w:cs="宋体"/>
          <w:sz w:val="24"/>
          <w:szCs w:val="24"/>
        </w:rPr>
      </w:pPr>
    </w:p>
    <w:p w14:paraId="35F7AEC3">
      <w:pPr>
        <w:numPr>
          <w:ilvl w:val="0"/>
          <w:numId w:val="5"/>
        </w:numPr>
        <w:outlineLvl w:val="0"/>
        <w:rPr>
          <w:rFonts w:hint="eastAsia" w:ascii="宋体" w:hAnsi="宋体" w:eastAsia="宋体" w:cs="宋体"/>
          <w:b w:val="0"/>
          <w:bCs w:val="0"/>
          <w:sz w:val="24"/>
          <w:szCs w:val="24"/>
        </w:rPr>
      </w:pPr>
      <w:bookmarkStart w:id="20" w:name="_Toc216766068"/>
      <w:bookmarkStart w:id="21" w:name="_Toc216767947"/>
      <w:r>
        <w:rPr>
          <w:rFonts w:hint="eastAsia" w:ascii="宋体" w:hAnsi="宋体" w:eastAsia="宋体" w:cs="宋体"/>
          <w:b w:val="0"/>
          <w:bCs w:val="0"/>
          <w:color w:val="000000"/>
          <w:kern w:val="0"/>
          <w:sz w:val="24"/>
          <w:szCs w:val="24"/>
          <w:lang w:bidi="ar"/>
        </w:rPr>
        <w:t>混合策略的深化构建与稳健性优化</w:t>
      </w:r>
      <w:bookmarkEnd w:id="20"/>
      <w:bookmarkEnd w:id="21"/>
    </w:p>
    <w:p w14:paraId="79F83BDD">
      <w:pPr>
        <w:rPr>
          <w:rFonts w:hint="eastAsia" w:ascii="宋体" w:hAnsi="宋体" w:eastAsia="宋体" w:cs="宋体"/>
          <w:sz w:val="24"/>
          <w:szCs w:val="24"/>
          <w:lang w:bidi="ar"/>
        </w:rPr>
      </w:pPr>
    </w:p>
    <w:p w14:paraId="431D82FF">
      <w:pPr>
        <w:ind w:left="420" w:hanging="480" w:hangingChars="200"/>
        <w:jc w:val="left"/>
        <w:rPr>
          <w:rFonts w:hint="eastAsia" w:ascii="宋体" w:hAnsi="宋体" w:eastAsia="宋体" w:cs="宋体"/>
          <w:sz w:val="24"/>
          <w:szCs w:val="24"/>
          <w:lang w:bidi="ar"/>
        </w:rPr>
      </w:pPr>
      <w:r>
        <w:rPr>
          <w:rFonts w:hint="eastAsia" w:ascii="宋体" w:hAnsi="宋体" w:eastAsia="宋体" w:cs="宋体"/>
          <w:sz w:val="24"/>
          <w:szCs w:val="24"/>
          <w:lang w:bidi="ar"/>
        </w:rPr>
        <w:t xml:space="preserve">  </w:t>
      </w:r>
      <w:r>
        <w:rPr>
          <w:rFonts w:hint="eastAsia" w:ascii="宋体" w:hAnsi="宋体" w:eastAsia="宋体" w:cs="宋体"/>
          <w:sz w:val="24"/>
          <w:szCs w:val="24"/>
          <w:lang w:bidi="ar"/>
        </w:rPr>
        <w:drawing>
          <wp:inline distT="0" distB="0" distL="0" distR="0">
            <wp:extent cx="2470785" cy="1828800"/>
            <wp:effectExtent l="0" t="0" r="5715" b="0"/>
            <wp:docPr id="212114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49137" name="图片 1"/>
                    <pic:cNvPicPr>
                      <a:picLocks noChangeAspect="1"/>
                    </pic:cNvPicPr>
                  </pic:nvPicPr>
                  <pic:blipFill>
                    <a:blip r:embed="rId29"/>
                    <a:stretch>
                      <a:fillRect/>
                    </a:stretch>
                  </pic:blipFill>
                  <pic:spPr>
                    <a:xfrm>
                      <a:off x="0" y="0"/>
                      <a:ext cx="2497617" cy="1849007"/>
                    </a:xfrm>
                    <a:prstGeom prst="rect">
                      <a:avLst/>
                    </a:prstGeom>
                  </pic:spPr>
                </pic:pic>
              </a:graphicData>
            </a:graphic>
          </wp:inline>
        </w:drawing>
      </w:r>
      <w:r>
        <w:rPr>
          <w:rFonts w:hint="eastAsia" w:ascii="宋体" w:hAnsi="宋体" w:eastAsia="宋体" w:cs="宋体"/>
          <w:sz w:val="24"/>
          <w:szCs w:val="24"/>
          <w:lang w:bidi="ar"/>
        </w:rPr>
        <w:t xml:space="preserve">  </w:t>
      </w:r>
      <w:r>
        <w:rPr>
          <w:rFonts w:hint="eastAsia" w:ascii="宋体" w:hAnsi="宋体" w:eastAsia="宋体" w:cs="宋体"/>
          <w:sz w:val="24"/>
          <w:szCs w:val="24"/>
          <w:lang w:bidi="ar"/>
        </w:rPr>
        <w:drawing>
          <wp:inline distT="0" distB="0" distL="0" distR="0">
            <wp:extent cx="2480310" cy="1836420"/>
            <wp:effectExtent l="0" t="0" r="0" b="0"/>
            <wp:docPr id="200163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1587" name="图片 1"/>
                    <pic:cNvPicPr>
                      <a:picLocks noChangeAspect="1"/>
                    </pic:cNvPicPr>
                  </pic:nvPicPr>
                  <pic:blipFill>
                    <a:blip r:embed="rId30"/>
                    <a:stretch>
                      <a:fillRect/>
                    </a:stretch>
                  </pic:blipFill>
                  <pic:spPr>
                    <a:xfrm>
                      <a:off x="0" y="0"/>
                      <a:ext cx="2514193" cy="1861276"/>
                    </a:xfrm>
                    <a:prstGeom prst="rect">
                      <a:avLst/>
                    </a:prstGeom>
                  </pic:spPr>
                </pic:pic>
              </a:graphicData>
            </a:graphic>
          </wp:inline>
        </w:drawing>
      </w:r>
    </w:p>
    <w:p w14:paraId="5E375843">
      <w:pPr>
        <w:ind w:left="420" w:hanging="480" w:hangingChars="200"/>
        <w:jc w:val="left"/>
        <w:rPr>
          <w:rFonts w:hint="eastAsia" w:ascii="宋体" w:hAnsi="宋体" w:eastAsia="宋体" w:cs="宋体"/>
          <w:sz w:val="24"/>
          <w:szCs w:val="24"/>
          <w:lang w:bidi="ar"/>
        </w:rPr>
      </w:pPr>
    </w:p>
    <w:p w14:paraId="0C41E433">
      <w:pPr>
        <w:ind w:left="420" w:hanging="480" w:hangingChars="200"/>
        <w:jc w:val="center"/>
        <w:rPr>
          <w:rFonts w:hint="eastAsia" w:ascii="宋体" w:hAnsi="宋体" w:eastAsia="宋体" w:cs="宋体"/>
          <w:sz w:val="24"/>
          <w:szCs w:val="24"/>
          <w:lang w:bidi="ar"/>
        </w:rPr>
      </w:pPr>
      <w:r>
        <w:rPr>
          <w:rFonts w:hint="eastAsia" w:ascii="宋体" w:hAnsi="宋体" w:eastAsia="宋体" w:cs="宋体"/>
          <w:sz w:val="24"/>
          <w:szCs w:val="24"/>
          <w:lang w:bidi="ar"/>
        </w:rPr>
        <w:drawing>
          <wp:inline distT="0" distB="0" distL="0" distR="0">
            <wp:extent cx="4974590" cy="3683000"/>
            <wp:effectExtent l="0" t="0" r="0" b="0"/>
            <wp:docPr id="110564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2355" name="图片 1"/>
                    <pic:cNvPicPr>
                      <a:picLocks noChangeAspect="1"/>
                    </pic:cNvPicPr>
                  </pic:nvPicPr>
                  <pic:blipFill>
                    <a:blip r:embed="rId31"/>
                    <a:stretch>
                      <a:fillRect/>
                    </a:stretch>
                  </pic:blipFill>
                  <pic:spPr>
                    <a:xfrm>
                      <a:off x="0" y="0"/>
                      <a:ext cx="4991062" cy="3694923"/>
                    </a:xfrm>
                    <a:prstGeom prst="rect">
                      <a:avLst/>
                    </a:prstGeom>
                  </pic:spPr>
                </pic:pic>
              </a:graphicData>
            </a:graphic>
          </wp:inline>
        </w:drawing>
      </w:r>
    </w:p>
    <w:p w14:paraId="56DC348B">
      <w:pPr>
        <w:ind w:left="420" w:hanging="480" w:hangingChars="200"/>
        <w:jc w:val="center"/>
        <w:rPr>
          <w:rFonts w:hint="eastAsia" w:ascii="宋体" w:hAnsi="宋体" w:eastAsia="宋体" w:cs="宋体"/>
          <w:sz w:val="24"/>
          <w:szCs w:val="24"/>
          <w:lang w:bidi="ar"/>
        </w:rPr>
      </w:pPr>
      <w:r>
        <w:rPr>
          <w:rFonts w:hint="eastAsia" w:ascii="宋体" w:hAnsi="宋体" w:eastAsia="宋体" w:cs="宋体"/>
          <w:sz w:val="24"/>
          <w:szCs w:val="24"/>
          <w:lang w:bidi="ar"/>
        </w:rPr>
        <w:t>分别为20、200、1000次压力测试</w:t>
      </w:r>
    </w:p>
    <w:p w14:paraId="58D8A54A">
      <w:pPr>
        <w:rPr>
          <w:rFonts w:hint="eastAsia" w:ascii="宋体" w:hAnsi="宋体" w:eastAsia="宋体" w:cs="宋体"/>
          <w:sz w:val="24"/>
          <w:szCs w:val="24"/>
          <w:lang w:bidi="ar"/>
        </w:rPr>
      </w:pPr>
    </w:p>
    <w:p w14:paraId="0A49FE33">
      <w:pPr>
        <w:rPr>
          <w:rFonts w:hint="eastAsia" w:ascii="宋体" w:hAnsi="宋体" w:eastAsia="宋体" w:cs="宋体"/>
          <w:sz w:val="24"/>
          <w:szCs w:val="24"/>
          <w:lang w:bidi="ar"/>
        </w:rPr>
      </w:pPr>
    </w:p>
    <w:p w14:paraId="53A996BC">
      <w:pPr>
        <w:ind w:firstLine="420"/>
        <w:rPr>
          <w:rFonts w:hint="eastAsia" w:ascii="宋体" w:hAnsi="宋体" w:eastAsia="宋体" w:cs="宋体"/>
          <w:sz w:val="24"/>
          <w:szCs w:val="24"/>
          <w:lang w:bidi="ar"/>
        </w:rPr>
      </w:pPr>
      <w:r>
        <w:rPr>
          <w:rFonts w:hint="eastAsia" w:ascii="宋体" w:hAnsi="宋体" w:eastAsia="宋体" w:cs="宋体"/>
          <w:sz w:val="24"/>
          <w:szCs w:val="24"/>
          <w:lang w:bidi="ar"/>
        </w:rPr>
        <w:t>尽管前述基于MACD+PSY的7:3仓位混合策略在特定历史回测中表现良好，但其统计稳健性不足的问题促使我们转向一个更具适应性的增强框架。为全面评估该框架的绩效特征与稳定性，我们对其进行了大规模、多轮次的模拟运行（20次、200次及1000次）。综合分析结果揭示出策略鲜明且一致的 “高防御性、低绝对收益、高超额收益” 特征，为实战优化提供了精确的导航。</w:t>
      </w:r>
    </w:p>
    <w:p w14:paraId="2C088A95">
      <w:pPr>
        <w:rPr>
          <w:rFonts w:hint="eastAsia" w:ascii="宋体" w:hAnsi="宋体" w:eastAsia="宋体" w:cs="宋体"/>
          <w:b/>
          <w:bCs/>
          <w:sz w:val="24"/>
          <w:szCs w:val="24"/>
          <w:lang w:bidi="ar"/>
        </w:rPr>
      </w:pPr>
    </w:p>
    <w:p w14:paraId="096839F0">
      <w:pPr>
        <w:rPr>
          <w:rFonts w:hint="eastAsia" w:ascii="宋体" w:hAnsi="宋体" w:eastAsia="宋体" w:cs="宋体"/>
          <w:b/>
          <w:bCs/>
          <w:sz w:val="24"/>
          <w:szCs w:val="24"/>
          <w:lang w:bidi="ar"/>
        </w:rPr>
      </w:pPr>
    </w:p>
    <w:p w14:paraId="5EB93943">
      <w:pPr>
        <w:widowControl/>
        <w:jc w:val="left"/>
        <w:outlineLvl w:val="1"/>
        <w:rPr>
          <w:rFonts w:hint="eastAsia" w:ascii="宋体" w:hAnsi="宋体" w:eastAsia="宋体" w:cs="宋体"/>
          <w:b/>
          <w:bCs/>
          <w:sz w:val="24"/>
          <w:szCs w:val="24"/>
          <w:lang w:bidi="ar"/>
        </w:rPr>
      </w:pPr>
      <w:bookmarkStart w:id="22" w:name="_Toc216767948"/>
      <w:bookmarkStart w:id="23" w:name="_Toc216766069"/>
      <w:r>
        <w:rPr>
          <w:rFonts w:hint="eastAsia" w:ascii="宋体" w:hAnsi="宋体" w:eastAsia="宋体" w:cs="宋体"/>
          <w:color w:val="000000"/>
          <w:kern w:val="0"/>
          <w:sz w:val="24"/>
          <w:szCs w:val="24"/>
          <w:lang w:bidi="ar"/>
        </w:rPr>
        <w:t xml:space="preserve">7.1 </w:t>
      </w:r>
      <w:r>
        <w:rPr>
          <w:rFonts w:hint="eastAsia" w:ascii="宋体" w:hAnsi="宋体" w:eastAsia="宋体" w:cs="宋体"/>
          <w:b/>
          <w:bCs/>
          <w:sz w:val="24"/>
          <w:szCs w:val="24"/>
          <w:lang w:bidi="ar"/>
        </w:rPr>
        <w:t>绩效特征的综合诊断：防御优势突出，进攻能力匮乏</w:t>
      </w:r>
      <w:bookmarkEnd w:id="22"/>
      <w:bookmarkEnd w:id="23"/>
    </w:p>
    <w:p w14:paraId="02D6B5F5">
      <w:pPr>
        <w:rPr>
          <w:rFonts w:hint="eastAsia" w:ascii="宋体" w:hAnsi="宋体" w:eastAsia="宋体" w:cs="宋体"/>
          <w:sz w:val="24"/>
          <w:szCs w:val="24"/>
          <w:lang w:bidi="ar"/>
        </w:rPr>
      </w:pPr>
      <w:r>
        <w:rPr>
          <w:rFonts w:hint="eastAsia" w:ascii="宋体" w:hAnsi="宋体" w:eastAsia="宋体" w:cs="宋体"/>
          <w:b/>
          <w:bCs/>
          <w:sz w:val="24"/>
          <w:szCs w:val="24"/>
          <w:lang w:bidi="ar"/>
        </w:rPr>
        <w:br w:type="textWrapping"/>
      </w:r>
      <w:r>
        <w:rPr>
          <w:rFonts w:hint="eastAsia" w:ascii="宋体" w:hAnsi="宋体" w:eastAsia="宋体" w:cs="宋体"/>
          <w:sz w:val="24"/>
          <w:szCs w:val="24"/>
          <w:lang w:bidi="ar"/>
        </w:rPr>
        <w:t>三轮测试结果呈现出高度一致的核心特征：</w:t>
      </w:r>
    </w:p>
    <w:p w14:paraId="020F19BA">
      <w:pPr>
        <w:pStyle w:val="15"/>
        <w:numPr>
          <w:ilvl w:val="0"/>
          <w:numId w:val="6"/>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卓越的相对收益与防御能力：在所有情景下，策略均取得了巨大的超额收益（52.68% - 73.78%），显著跑赢同期暴跌的基准（基准累计收益约-65%）。这强有力地证实了策略在市场下行期具有卓越的资本保全与抗跌能力，其核心价值在于风险控制而非进攻弹性。</w:t>
      </w:r>
    </w:p>
    <w:p w14:paraId="185A9E03">
      <w:pPr>
        <w:pStyle w:val="15"/>
        <w:numPr>
          <w:ilvl w:val="0"/>
          <w:numId w:val="6"/>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疲弱的绝对收益与风险调整后收益：策略的累计收益率（-12.44% 至 8.66%）与年化收益率（-1.14% 至 0.72%）均处于极低水平，未能达到增长目标。同时，夏普比率与索提诺比率均为负值，表明策略未能为所承担的风险提供足够的补偿，其收益主要来源于规避市场下跌（Beta管理），而非创造主动收益（Alpha）。</w:t>
      </w:r>
    </w:p>
    <w:p w14:paraId="676C8E5B">
      <w:pPr>
        <w:numPr>
          <w:ilvl w:val="0"/>
          <w:numId w:val="6"/>
        </w:numPr>
        <w:rPr>
          <w:rFonts w:hint="eastAsia" w:ascii="宋体" w:hAnsi="宋体" w:eastAsia="宋体" w:cs="宋体"/>
          <w:sz w:val="24"/>
          <w:szCs w:val="24"/>
          <w:lang w:bidi="ar"/>
        </w:rPr>
      </w:pPr>
      <w:r>
        <w:rPr>
          <w:rFonts w:hint="eastAsia" w:ascii="宋体" w:hAnsi="宋体" w:eastAsia="宋体" w:cs="宋体"/>
          <w:sz w:val="24"/>
          <w:szCs w:val="24"/>
          <w:lang w:bidi="ar"/>
        </w:rPr>
        <w:t>稳健的盈亏结构与不稳定的胜率：策略的盈亏比始终表现优异（1.18 - 2.92），尤其在200次以上测试中稳定在2.5以上，符合“亏小赚大”的盈利内核。然而，胜率波动较大且偏低（33.33% - 49.28%），结合总交易次数偏高（88-99次），说明策略信号存在过度交易倾向，产生了大量小额止损，侵蚀了整体利润。</w:t>
      </w:r>
    </w:p>
    <w:p w14:paraId="352A6FDF">
      <w:pPr>
        <w:rPr>
          <w:rFonts w:hint="eastAsia" w:ascii="宋体" w:hAnsi="宋体" w:eastAsia="宋体" w:cs="宋体"/>
          <w:b/>
          <w:bCs/>
          <w:sz w:val="24"/>
          <w:szCs w:val="24"/>
          <w:lang w:bidi="ar"/>
        </w:rPr>
      </w:pPr>
    </w:p>
    <w:p w14:paraId="32BAAC74">
      <w:pPr>
        <w:widowControl/>
        <w:jc w:val="left"/>
        <w:outlineLvl w:val="1"/>
        <w:rPr>
          <w:rFonts w:hint="eastAsia" w:ascii="宋体" w:hAnsi="宋体" w:eastAsia="宋体" w:cs="宋体"/>
          <w:b/>
          <w:bCs/>
          <w:sz w:val="24"/>
          <w:szCs w:val="24"/>
          <w:lang w:bidi="ar"/>
        </w:rPr>
      </w:pPr>
      <w:bookmarkStart w:id="24" w:name="_Toc216766070"/>
      <w:bookmarkStart w:id="25" w:name="_Toc216767949"/>
      <w:r>
        <w:rPr>
          <w:rFonts w:hint="eastAsia" w:ascii="宋体" w:hAnsi="宋体" w:eastAsia="宋体" w:cs="宋体"/>
          <w:color w:val="000000"/>
          <w:kern w:val="0"/>
          <w:sz w:val="24"/>
          <w:szCs w:val="24"/>
          <w:lang w:bidi="ar"/>
        </w:rPr>
        <w:t>7.2</w:t>
      </w:r>
      <w:r>
        <w:rPr>
          <w:rFonts w:hint="eastAsia" w:ascii="宋体" w:hAnsi="宋体" w:eastAsia="宋体" w:cs="宋体"/>
          <w:b w:val="0"/>
          <w:bCs w:val="0"/>
          <w:sz w:val="24"/>
          <w:szCs w:val="24"/>
          <w:lang w:bidi="ar"/>
        </w:rPr>
        <w:t>关键矛盾的根源剖析与优化方向</w:t>
      </w:r>
      <w:bookmarkEnd w:id="24"/>
      <w:bookmarkEnd w:id="25"/>
    </w:p>
    <w:p w14:paraId="3E76B0F0">
      <w:pPr>
        <w:widowControl/>
        <w:jc w:val="left"/>
        <w:outlineLvl w:val="1"/>
        <w:rPr>
          <w:rFonts w:hint="eastAsia" w:ascii="宋体" w:hAnsi="宋体" w:eastAsia="宋体" w:cs="宋体"/>
          <w:b/>
          <w:bCs/>
          <w:sz w:val="24"/>
          <w:szCs w:val="24"/>
          <w:lang w:bidi="ar"/>
        </w:rPr>
      </w:pPr>
    </w:p>
    <w:p w14:paraId="6A6EB603">
      <w:pPr>
        <w:ind w:firstLine="480" w:firstLineChars="200"/>
        <w:rPr>
          <w:rFonts w:hint="eastAsia" w:ascii="宋体" w:hAnsi="宋体" w:eastAsia="宋体" w:cs="宋体"/>
          <w:sz w:val="24"/>
          <w:szCs w:val="24"/>
          <w:lang w:bidi="ar"/>
        </w:rPr>
      </w:pPr>
      <w:r>
        <w:rPr>
          <w:rFonts w:hint="eastAsia" w:ascii="宋体" w:hAnsi="宋体" w:eastAsia="宋体" w:cs="宋体"/>
          <w:sz w:val="24"/>
          <w:szCs w:val="24"/>
          <w:lang w:bidi="ar"/>
        </w:rPr>
        <w:t>上述特征指向策略当前的核心矛盾：出色的下行风险控制与薄弱的上行捕捉能力并存。基于增强框架与实测数据，优化必须三管齐下：</w:t>
      </w:r>
    </w:p>
    <w:p w14:paraId="34496E3A">
      <w:pPr>
        <w:ind w:firstLine="480" w:firstLineChars="200"/>
        <w:rPr>
          <w:rFonts w:hint="eastAsia" w:ascii="宋体" w:hAnsi="宋体" w:eastAsia="宋体" w:cs="宋体"/>
          <w:sz w:val="24"/>
          <w:szCs w:val="24"/>
          <w:lang w:bidi="ar"/>
        </w:rPr>
      </w:pPr>
      <w:r>
        <w:rPr>
          <w:rFonts w:hint="eastAsia" w:ascii="宋体" w:hAnsi="宋体" w:eastAsia="宋体" w:cs="宋体"/>
          <w:sz w:val="24"/>
          <w:szCs w:val="24"/>
          <w:lang w:bidi="ar"/>
        </w:rPr>
        <w:t>优化方向一：提升胜率，抑制无效交易当前胜率是制约绝对收益的首要因素。务实措施应致力于信号提质：</w:t>
      </w:r>
    </w:p>
    <w:p w14:paraId="00167872">
      <w:pPr>
        <w:pStyle w:val="15"/>
        <w:numPr>
          <w:ilvl w:val="0"/>
          <w:numId w:val="7"/>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增加趋势环境过滤：仅在MarketStateDetector判定为“震荡市”或“企稳期”时，才执行高频率的均值回归型交易；在“牛市”中，必须叠加长期均线（如周线级别MA20）向上等趋势确认条件，方可触发买入，避免在趋势初期过早卖出或频繁反向操作。</w:t>
      </w:r>
    </w:p>
    <w:p w14:paraId="79176AED">
      <w:pPr>
        <w:pStyle w:val="15"/>
        <w:numPr>
          <w:ilvl w:val="0"/>
          <w:numId w:val="7"/>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引入更严格的信号共振：在复合技术评分（tech_score）达标基础上，要求价格形态（如突破布林带上轨或下轨后回归）与成交量异常（如放量启动）出现共振，以减少假突破带来的损耗。</w:t>
      </w:r>
    </w:p>
    <w:p w14:paraId="126E0B2D">
      <w:pPr>
        <w:ind w:left="420"/>
        <w:rPr>
          <w:rFonts w:hint="eastAsia" w:ascii="宋体" w:hAnsi="宋体" w:eastAsia="宋体" w:cs="宋体"/>
          <w:sz w:val="24"/>
          <w:szCs w:val="24"/>
          <w:lang w:bidi="ar"/>
        </w:rPr>
      </w:pPr>
      <w:r>
        <w:rPr>
          <w:rFonts w:hint="eastAsia" w:ascii="宋体" w:hAnsi="宋体" w:eastAsia="宋体" w:cs="宋体"/>
          <w:sz w:val="24"/>
          <w:szCs w:val="24"/>
          <w:lang w:bidi="ar"/>
        </w:rPr>
        <w:t>优化方向二：强化风控，压降最大回撤（-23.50% 至 -34.28%）远超15%的实用目标，构成主要风险。必须在动态仓位管理基础上设置刚性防线：</w:t>
      </w:r>
    </w:p>
    <w:p w14:paraId="22AF6F07">
      <w:pPr>
        <w:pStyle w:val="15"/>
        <w:numPr>
          <w:ilvl w:val="0"/>
          <w:numId w:val="8"/>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实施净值回撤全局止损：当策略总资产从历史峰值回撤超过12% 时，强制将仓位降至极低水平（如10%）或完全清仓，进入观察模式，待趋势重新确立后再入场。</w:t>
      </w:r>
    </w:p>
    <w:p w14:paraId="3F43236E">
      <w:pPr>
        <w:pStyle w:val="15"/>
        <w:numPr>
          <w:ilvl w:val="0"/>
          <w:numId w:val="8"/>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关联波动率与仓位上限：在DynamicPositionManager中，使最大理论仓位与市场实际波动率（ATR）强负相关。在高波动阶段（如ATR比率&gt;历史80%分位数），即便信号强烈，也应严格执行更低的仓位上限。</w:t>
      </w:r>
    </w:p>
    <w:p w14:paraId="0DB2FC2B">
      <w:pPr>
        <w:ind w:left="420"/>
        <w:rPr>
          <w:rFonts w:hint="eastAsia" w:ascii="宋体" w:hAnsi="宋体" w:eastAsia="宋体" w:cs="宋体"/>
          <w:sz w:val="24"/>
          <w:szCs w:val="24"/>
          <w:lang w:bidi="ar"/>
        </w:rPr>
      </w:pPr>
      <w:r>
        <w:rPr>
          <w:rFonts w:hint="eastAsia" w:ascii="宋体" w:hAnsi="宋体" w:eastAsia="宋体" w:cs="宋体"/>
          <w:sz w:val="24"/>
          <w:szCs w:val="24"/>
          <w:lang w:bidi="ar"/>
        </w:rPr>
        <w:t>优化方向三：区分市场环境，采用差异化规则测试结果证实策略是优秀的“熊市工具”。应使其逻辑更自适应：</w:t>
      </w:r>
    </w:p>
    <w:p w14:paraId="2680C2DB">
      <w:pPr>
        <w:pStyle w:val="15"/>
        <w:numPr>
          <w:ilvl w:val="0"/>
          <w:numId w:val="9"/>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熊市/高波动市：沿用当前严止损、高盈亏比的模式，目标是控制回撤，获取超额收益。</w:t>
      </w:r>
    </w:p>
    <w:p w14:paraId="34C01F1B">
      <w:pPr>
        <w:pStyle w:val="15"/>
        <w:numPr>
          <w:ilvl w:val="0"/>
          <w:numId w:val="9"/>
        </w:numPr>
        <w:ind w:firstLineChars="0"/>
        <w:rPr>
          <w:rFonts w:hint="eastAsia" w:ascii="宋体" w:hAnsi="宋体" w:eastAsia="宋体" w:cs="宋体"/>
          <w:sz w:val="24"/>
          <w:szCs w:val="24"/>
          <w:lang w:bidi="ar"/>
        </w:rPr>
      </w:pPr>
      <w:r>
        <w:rPr>
          <w:rFonts w:hint="eastAsia" w:ascii="宋体" w:hAnsi="宋体" w:eastAsia="宋体" w:cs="宋体"/>
          <w:sz w:val="24"/>
          <w:szCs w:val="24"/>
          <w:lang w:bidi="ar"/>
        </w:rPr>
        <w:t>牛市/低波动市：应显著降低交易频率（可切换至周线主导），并放宽止盈条件（如将固定止盈改为移动跟踪止盈），旨在让盈利头寸充分奔跑，弥补其在绝对收益上的短板。</w:t>
      </w:r>
    </w:p>
    <w:p w14:paraId="6BB94F93">
      <w:pPr>
        <w:rPr>
          <w:rFonts w:hint="eastAsia" w:ascii="宋体" w:hAnsi="宋体" w:eastAsia="宋体" w:cs="宋体"/>
          <w:sz w:val="24"/>
          <w:szCs w:val="24"/>
          <w:lang w:bidi="ar"/>
        </w:rPr>
      </w:pPr>
    </w:p>
    <w:p w14:paraId="433835FA">
      <w:pPr>
        <w:widowControl/>
        <w:jc w:val="left"/>
        <w:outlineLvl w:val="1"/>
        <w:rPr>
          <w:rFonts w:hint="eastAsia" w:ascii="宋体" w:hAnsi="宋体" w:eastAsia="宋体" w:cs="宋体"/>
          <w:b/>
          <w:bCs/>
          <w:sz w:val="24"/>
          <w:szCs w:val="24"/>
          <w:lang w:bidi="ar"/>
        </w:rPr>
      </w:pPr>
      <w:bookmarkStart w:id="26" w:name="_Toc216766071"/>
      <w:bookmarkStart w:id="27" w:name="_Toc216767950"/>
      <w:r>
        <w:rPr>
          <w:rFonts w:hint="eastAsia" w:ascii="宋体" w:hAnsi="宋体" w:eastAsia="宋体" w:cs="宋体"/>
          <w:color w:val="000000"/>
          <w:kern w:val="0"/>
          <w:sz w:val="24"/>
          <w:szCs w:val="24"/>
          <w:lang w:bidi="ar"/>
        </w:rPr>
        <w:t>7.3</w:t>
      </w:r>
      <w:bookmarkStart w:id="30" w:name="_GoBack"/>
      <w:r>
        <w:rPr>
          <w:rFonts w:hint="eastAsia" w:ascii="宋体" w:hAnsi="宋体" w:eastAsia="宋体" w:cs="宋体"/>
          <w:b w:val="0"/>
          <w:bCs w:val="0"/>
          <w:sz w:val="24"/>
          <w:szCs w:val="24"/>
          <w:lang w:bidi="ar"/>
        </w:rPr>
        <w:t>研究总结与前瞻</w:t>
      </w:r>
      <w:bookmarkEnd w:id="26"/>
      <w:bookmarkEnd w:id="27"/>
      <w:bookmarkEnd w:id="30"/>
    </w:p>
    <w:p w14:paraId="5E7B884B">
      <w:pPr>
        <w:widowControl/>
        <w:jc w:val="left"/>
        <w:outlineLvl w:val="1"/>
        <w:rPr>
          <w:rFonts w:hint="eastAsia" w:ascii="宋体" w:hAnsi="宋体" w:eastAsia="宋体" w:cs="宋体"/>
          <w:b/>
          <w:bCs/>
          <w:sz w:val="24"/>
          <w:szCs w:val="24"/>
          <w:lang w:bidi="ar"/>
        </w:rPr>
      </w:pPr>
    </w:p>
    <w:p w14:paraId="44288DB2">
      <w:pPr>
        <w:ind w:firstLine="480" w:firstLineChars="200"/>
        <w:rPr>
          <w:rFonts w:hint="eastAsia" w:ascii="宋体" w:hAnsi="宋体" w:eastAsia="宋体" w:cs="宋体"/>
          <w:sz w:val="24"/>
          <w:szCs w:val="24"/>
          <w:lang w:bidi="ar"/>
        </w:rPr>
      </w:pPr>
      <w:r>
        <w:rPr>
          <w:rFonts w:hint="eastAsia" w:ascii="宋体" w:hAnsi="宋体" w:eastAsia="宋体" w:cs="宋体"/>
          <w:sz w:val="24"/>
          <w:szCs w:val="24"/>
          <w:lang w:bidi="ar"/>
        </w:rPr>
        <w:t>千次运行的压力测试，不仅验证了本混合策略框架在风险防御和获取超额收益上的显著优势，也精准定位了其在绝对收益创造和极端回撤控制上的缺陷。这表明一个成功的混合策略不仅需要多维度的技术融合，更需要对不同市场环境的差异化盈利逻辑有清醒认识。</w:t>
      </w:r>
    </w:p>
    <w:p w14:paraId="62D0C772">
      <w:pPr>
        <w:ind w:firstLine="420"/>
        <w:rPr>
          <w:rFonts w:hint="eastAsia" w:ascii="宋体" w:hAnsi="宋体" w:eastAsia="宋体" w:cs="宋体"/>
          <w:sz w:val="24"/>
          <w:szCs w:val="24"/>
          <w:lang w:bidi="ar"/>
        </w:rPr>
      </w:pPr>
      <w:r>
        <w:rPr>
          <w:rFonts w:hint="eastAsia" w:ascii="宋体" w:hAnsi="宋体" w:eastAsia="宋体" w:cs="宋体"/>
          <w:sz w:val="24"/>
          <w:szCs w:val="24"/>
          <w:lang w:bidi="ar"/>
        </w:rPr>
        <w:t>未来的演进方向在于：第一，开发“市场环境-策略损益”的归因分析模块，精确量化策略在各类市况下的收益来源与损耗点；第二，探索引入基本面景气度或宏观流动性指标作为战略择时过滤器，从根本上提升在牛市环境中的参与度与收益弹性。通过将战术上的技术指标混合与战略上的市场环境适配更深层次地结合，方能最终锻造出具备全天候盈利潜能的实战量化体系。</w:t>
      </w:r>
    </w:p>
    <w:p w14:paraId="7E803BD3">
      <w:pPr>
        <w:rPr>
          <w:rFonts w:hint="eastAsia" w:ascii="宋体" w:hAnsi="宋体" w:eastAsia="宋体" w:cs="宋体"/>
          <w:sz w:val="24"/>
          <w:szCs w:val="24"/>
          <w:lang w:bidi="ar"/>
        </w:rPr>
      </w:pPr>
      <w:r>
        <w:rPr>
          <w:rFonts w:hint="eastAsia" w:ascii="宋体" w:hAnsi="宋体" w:eastAsia="宋体" w:cs="宋体"/>
          <w:sz w:val="24"/>
          <w:szCs w:val="24"/>
          <w:lang w:bidi="ar"/>
        </w:rPr>
        <w:tab/>
      </w:r>
    </w:p>
    <w:p w14:paraId="78F63A3A">
      <w:pPr>
        <w:widowControl/>
        <w:jc w:val="left"/>
        <w:rPr>
          <w:rFonts w:hint="eastAsia" w:ascii="宋体" w:hAnsi="宋体" w:eastAsia="宋体" w:cs="宋体"/>
          <w:sz w:val="24"/>
          <w:szCs w:val="24"/>
        </w:rPr>
      </w:pPr>
    </w:p>
    <w:p w14:paraId="329D4CE4">
      <w:pPr>
        <w:widowControl/>
        <w:ind w:firstLine="480" w:firstLineChars="200"/>
        <w:jc w:val="left"/>
        <w:rPr>
          <w:rFonts w:hint="eastAsia" w:ascii="宋体" w:hAnsi="宋体" w:eastAsia="宋体" w:cs="宋体"/>
          <w:sz w:val="24"/>
          <w:szCs w:val="24"/>
        </w:rPr>
      </w:pPr>
    </w:p>
    <w:p w14:paraId="579B97AD">
      <w:pPr>
        <w:widowControl/>
        <w:ind w:firstLine="480" w:firstLineChars="200"/>
        <w:jc w:val="left"/>
        <w:rPr>
          <w:rFonts w:hint="eastAsia" w:ascii="宋体" w:hAnsi="宋体" w:eastAsia="宋体" w:cs="宋体"/>
          <w:sz w:val="24"/>
          <w:szCs w:val="24"/>
        </w:rPr>
      </w:pPr>
    </w:p>
    <w:p w14:paraId="0716A151">
      <w:pPr>
        <w:numPr>
          <w:ilvl w:val="0"/>
          <w:numId w:val="5"/>
        </w:numPr>
        <w:outlineLvl w:val="0"/>
        <w:rPr>
          <w:rFonts w:hint="eastAsia" w:ascii="宋体" w:hAnsi="宋体" w:eastAsia="宋体" w:cs="宋体"/>
          <w:sz w:val="24"/>
          <w:szCs w:val="24"/>
        </w:rPr>
      </w:pPr>
      <w:bookmarkStart w:id="28" w:name="_Toc216767951"/>
      <w:r>
        <w:rPr>
          <w:rFonts w:hint="eastAsia" w:ascii="宋体" w:hAnsi="宋体" w:eastAsia="宋体" w:cs="宋体"/>
          <w:sz w:val="24"/>
          <w:szCs w:val="24"/>
        </w:rPr>
        <w:t>结论与展望</w:t>
      </w:r>
      <w:bookmarkEnd w:id="28"/>
    </w:p>
    <w:p w14:paraId="6A019142">
      <w:pPr>
        <w:outlineLvl w:val="0"/>
        <w:rPr>
          <w:rFonts w:hint="eastAsia" w:ascii="宋体" w:hAnsi="宋体" w:eastAsia="宋体" w:cs="宋体"/>
          <w:sz w:val="24"/>
          <w:szCs w:val="24"/>
        </w:rPr>
      </w:pPr>
    </w:p>
    <w:p w14:paraId="7629BB5F">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研究内容与结论</w:t>
      </w:r>
    </w:p>
    <w:p w14:paraId="285F9F4A">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本文通过实证分析检验了沪深指数的走势、相关性及融资融券的市场影响，并深入分析了个股（以浦发银行为例）与大盘的联动关系及MACD指标特征。研究发现，个股走势同时受大盘系统性影响和自身逻辑驱动，二者呈中度正相关。基于此，首先构建了基础MACD+PSY策略，并通过回测对比发现，结合大盘稳健性与个股波动性、按7:3仓位配置的混合策略表现最优。</w:t>
      </w:r>
    </w:p>
    <w:p w14:paraId="776EAB67">
      <w:pPr>
        <w:widowControl/>
        <w:jc w:val="left"/>
        <w:rPr>
          <w:rFonts w:hint="eastAsia" w:ascii="宋体" w:hAnsi="宋体" w:eastAsia="宋体" w:cs="宋体"/>
          <w:color w:val="000000"/>
          <w:kern w:val="0"/>
          <w:sz w:val="24"/>
          <w:szCs w:val="24"/>
          <w:lang w:bidi="ar"/>
        </w:rPr>
      </w:pPr>
    </w:p>
    <w:p w14:paraId="03D97657">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策略表现与验证</w:t>
      </w:r>
    </w:p>
    <w:p w14:paraId="39EE5457">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进一步地，为检验该混合策略的稳健性，我们对其进行了大规模压力测试（20/200/1000次）。测试结果一致揭示出策略鲜明的“高防御性、低绝对收益、高超额收益”特征：其在市场下行期能取得显著超额收益（最高73.78%），但绝对收益疲弱（年化收益率在-1.14%至0.72%），且存在过度交易、胜率偏低的问题。这一核心矛盾指向了策略出色的下行风险控制与薄弱的上行捕捉能力。</w:t>
      </w:r>
    </w:p>
    <w:p w14:paraId="07265FA8">
      <w:pPr>
        <w:widowControl/>
        <w:jc w:val="left"/>
        <w:rPr>
          <w:rFonts w:hint="eastAsia" w:ascii="宋体" w:hAnsi="宋体" w:eastAsia="宋体" w:cs="宋体"/>
          <w:color w:val="000000"/>
          <w:kern w:val="0"/>
          <w:sz w:val="24"/>
          <w:szCs w:val="24"/>
          <w:lang w:bidi="ar"/>
        </w:rPr>
      </w:pPr>
    </w:p>
    <w:p w14:paraId="66305F89">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研究局限性</w:t>
      </w:r>
    </w:p>
    <w:p w14:paraId="68CDEAC0">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本研究存在若干局限：首先，策略验证虽经压力测试，但数据时段（2010-2022年）仍有限，且未进行严格的样本外验证。其次，策略分析与构建侧重于捕捉市场整体波动带来的收益（β收益），对个股特异性收益（α）的挖掘不足。最后，研究未考虑实际交易成本及投资者的心理与行为偏差等因素。</w:t>
      </w:r>
    </w:p>
    <w:p w14:paraId="3EB3BBBD">
      <w:pPr>
        <w:widowControl/>
        <w:jc w:val="left"/>
        <w:rPr>
          <w:rFonts w:hint="eastAsia" w:ascii="宋体" w:hAnsi="宋体" w:eastAsia="宋体" w:cs="宋体"/>
          <w:color w:val="000000"/>
          <w:kern w:val="0"/>
          <w:sz w:val="24"/>
          <w:szCs w:val="24"/>
          <w:lang w:bidi="ar"/>
        </w:rPr>
      </w:pPr>
    </w:p>
    <w:p w14:paraId="10362265">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未来研究展望</w:t>
      </w:r>
    </w:p>
    <w:p w14:paraId="37AD9669">
      <w:pPr>
        <w:widowControl/>
        <w:ind w:firstLine="420"/>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针对策略“高防御、低绝对收益”的核心矛盾，后续优化应三管齐下：提升信号胜率、强化刚性风控、并建立依市场环境切换的差异化规则。长远而言，需开发市场环境归因模块，并探索引入基本面或宏观指标作为战略择时过滤器，以构建具备全天候盈利潜能的实战量化体系。</w:t>
      </w:r>
    </w:p>
    <w:p w14:paraId="197011BD">
      <w:pPr>
        <w:widowControl/>
        <w:jc w:val="left"/>
        <w:rPr>
          <w:rFonts w:hint="eastAsia" w:ascii="宋体" w:hAnsi="宋体" w:eastAsia="宋体" w:cs="宋体"/>
          <w:color w:val="000000"/>
          <w:kern w:val="0"/>
          <w:sz w:val="24"/>
          <w:szCs w:val="24"/>
          <w:lang w:bidi="ar"/>
        </w:rPr>
      </w:pPr>
    </w:p>
    <w:p w14:paraId="7B654018">
      <w:pPr>
        <w:outlineLvl w:val="0"/>
        <w:rPr>
          <w:rFonts w:hint="eastAsia" w:ascii="宋体" w:hAnsi="宋体" w:eastAsia="宋体" w:cs="宋体"/>
          <w:sz w:val="24"/>
          <w:szCs w:val="24"/>
        </w:rPr>
      </w:pPr>
    </w:p>
    <w:p w14:paraId="7658E103">
      <w:pPr>
        <w:pStyle w:val="9"/>
        <w:widowControl/>
        <w:spacing w:beforeAutospacing="0" w:afterAutospacing="0"/>
        <w:rPr>
          <w:rFonts w:hint="eastAsia" w:ascii="宋体" w:hAnsi="宋体" w:eastAsia="宋体" w:cs="宋体"/>
          <w:sz w:val="24"/>
          <w:szCs w:val="24"/>
        </w:rPr>
      </w:pPr>
    </w:p>
    <w:p w14:paraId="4ABD1983">
      <w:pPr>
        <w:widowControl/>
        <w:jc w:val="left"/>
        <w:rPr>
          <w:rFonts w:hint="eastAsia" w:ascii="宋体" w:hAnsi="宋体" w:eastAsia="宋体" w:cs="宋体"/>
          <w:sz w:val="24"/>
          <w:szCs w:val="24"/>
        </w:rPr>
      </w:pPr>
    </w:p>
    <w:p w14:paraId="5388A64F">
      <w:pPr>
        <w:pStyle w:val="9"/>
        <w:widowControl/>
        <w:spacing w:beforeAutospacing="0" w:afterAutospacing="0"/>
        <w:rPr>
          <w:rFonts w:hint="eastAsia" w:ascii="宋体" w:hAnsi="宋体" w:eastAsia="宋体" w:cs="宋体"/>
          <w:sz w:val="24"/>
          <w:szCs w:val="24"/>
        </w:rPr>
      </w:pPr>
    </w:p>
    <w:p w14:paraId="3C60F7DF">
      <w:pPr>
        <w:rPr>
          <w:rFonts w:hint="eastAsia" w:ascii="宋体" w:hAnsi="宋体" w:eastAsia="宋体" w:cs="宋体"/>
          <w:sz w:val="24"/>
          <w:szCs w:val="24"/>
        </w:rPr>
      </w:pPr>
    </w:p>
    <w:p w14:paraId="6F11F150">
      <w:pPr>
        <w:rPr>
          <w:rFonts w:hint="eastAsia" w:ascii="宋体" w:hAnsi="宋体" w:eastAsia="宋体" w:cs="宋体"/>
          <w:sz w:val="24"/>
          <w:szCs w:val="24"/>
        </w:rPr>
      </w:pPr>
    </w:p>
    <w:p w14:paraId="1E6378F5">
      <w:pPr>
        <w:widowControl/>
        <w:jc w:val="left"/>
        <w:rPr>
          <w:rFonts w:hint="eastAsia" w:ascii="宋体" w:hAnsi="宋体" w:eastAsia="宋体" w:cs="宋体"/>
          <w:color w:val="000000"/>
          <w:kern w:val="0"/>
          <w:sz w:val="24"/>
          <w:szCs w:val="24"/>
          <w:lang w:bidi="ar"/>
        </w:rPr>
      </w:pPr>
    </w:p>
    <w:p w14:paraId="6924223F">
      <w:pPr>
        <w:widowControl/>
        <w:ind w:firstLine="420"/>
        <w:jc w:val="left"/>
        <w:rPr>
          <w:rFonts w:hint="eastAsia" w:ascii="宋体" w:hAnsi="宋体" w:eastAsia="宋体" w:cs="宋体"/>
          <w:color w:val="000000"/>
          <w:kern w:val="0"/>
          <w:sz w:val="24"/>
          <w:szCs w:val="24"/>
          <w:lang w:bidi="ar"/>
        </w:rPr>
      </w:pPr>
    </w:p>
    <w:p w14:paraId="2A42C386">
      <w:pPr>
        <w:widowControl/>
        <w:ind w:firstLine="480" w:firstLineChars="200"/>
        <w:jc w:val="left"/>
        <w:rPr>
          <w:rFonts w:hint="eastAsia" w:ascii="宋体" w:hAnsi="宋体" w:eastAsia="宋体" w:cs="宋体"/>
          <w:sz w:val="24"/>
          <w:szCs w:val="24"/>
        </w:rPr>
      </w:pPr>
    </w:p>
    <w:p w14:paraId="5E53B016">
      <w:pPr>
        <w:ind w:firstLine="480" w:firstLineChars="200"/>
        <w:rPr>
          <w:rFonts w:hint="eastAsia" w:ascii="宋体" w:hAnsi="宋体" w:eastAsia="宋体" w:cs="宋体"/>
          <w:sz w:val="24"/>
          <w:szCs w:val="24"/>
        </w:rPr>
      </w:pPr>
    </w:p>
    <w:p w14:paraId="4B9735FA">
      <w:pPr>
        <w:outlineLvl w:val="0"/>
        <w:rPr>
          <w:rFonts w:hint="eastAsia" w:ascii="宋体" w:hAnsi="宋体" w:eastAsia="宋体" w:cs="宋体"/>
          <w:sz w:val="24"/>
          <w:szCs w:val="24"/>
        </w:rPr>
      </w:pPr>
    </w:p>
    <w:p w14:paraId="4A3673E4">
      <w:pPr>
        <w:outlineLvl w:val="0"/>
        <w:rPr>
          <w:rFonts w:hint="eastAsia" w:ascii="宋体" w:hAnsi="宋体" w:eastAsia="宋体" w:cs="宋体"/>
          <w:sz w:val="24"/>
          <w:szCs w:val="24"/>
        </w:rPr>
      </w:pPr>
    </w:p>
    <w:p w14:paraId="72B8C39C">
      <w:pPr>
        <w:outlineLvl w:val="0"/>
        <w:rPr>
          <w:rFonts w:hint="eastAsia" w:ascii="宋体" w:hAnsi="宋体" w:eastAsia="宋体" w:cs="宋体"/>
          <w:sz w:val="24"/>
          <w:szCs w:val="24"/>
        </w:rPr>
      </w:pPr>
    </w:p>
    <w:p w14:paraId="2278AD57">
      <w:pPr>
        <w:outlineLvl w:val="0"/>
        <w:rPr>
          <w:rFonts w:hint="eastAsia" w:ascii="宋体" w:hAnsi="宋体" w:eastAsia="宋体" w:cs="宋体"/>
          <w:sz w:val="24"/>
          <w:szCs w:val="24"/>
        </w:rPr>
      </w:pPr>
    </w:p>
    <w:p w14:paraId="0B6158FB">
      <w:pPr>
        <w:outlineLvl w:val="0"/>
        <w:rPr>
          <w:rFonts w:hint="eastAsia" w:ascii="宋体" w:hAnsi="宋体" w:eastAsia="宋体" w:cs="宋体"/>
          <w:sz w:val="24"/>
          <w:szCs w:val="24"/>
        </w:rPr>
      </w:pPr>
    </w:p>
    <w:p w14:paraId="11E24609">
      <w:pPr>
        <w:outlineLvl w:val="0"/>
        <w:rPr>
          <w:rFonts w:hint="eastAsia" w:ascii="宋体" w:hAnsi="宋体" w:eastAsia="宋体" w:cs="宋体"/>
          <w:sz w:val="24"/>
          <w:szCs w:val="24"/>
        </w:rPr>
      </w:pPr>
    </w:p>
    <w:p w14:paraId="7496C43C">
      <w:pPr>
        <w:outlineLvl w:val="0"/>
        <w:rPr>
          <w:rFonts w:hint="eastAsia" w:ascii="宋体" w:hAnsi="宋体" w:eastAsia="宋体" w:cs="宋体"/>
          <w:sz w:val="24"/>
          <w:szCs w:val="24"/>
        </w:rPr>
      </w:pPr>
    </w:p>
    <w:p w14:paraId="38580EB8">
      <w:pPr>
        <w:outlineLvl w:val="0"/>
        <w:rPr>
          <w:rFonts w:hint="eastAsia" w:ascii="宋体" w:hAnsi="宋体" w:eastAsia="宋体" w:cs="宋体"/>
          <w:sz w:val="24"/>
          <w:szCs w:val="24"/>
        </w:rPr>
      </w:pPr>
    </w:p>
    <w:p w14:paraId="64B6401F">
      <w:pPr>
        <w:outlineLvl w:val="0"/>
        <w:rPr>
          <w:rFonts w:hint="eastAsia" w:ascii="宋体" w:hAnsi="宋体" w:eastAsia="宋体" w:cs="宋体"/>
          <w:sz w:val="24"/>
          <w:szCs w:val="24"/>
        </w:rPr>
      </w:pPr>
    </w:p>
    <w:p w14:paraId="57C262B1">
      <w:pPr>
        <w:outlineLvl w:val="0"/>
        <w:rPr>
          <w:rFonts w:hint="eastAsia" w:ascii="宋体" w:hAnsi="宋体" w:eastAsia="宋体" w:cs="宋体"/>
          <w:sz w:val="24"/>
          <w:szCs w:val="24"/>
        </w:rPr>
      </w:pPr>
    </w:p>
    <w:p w14:paraId="4A8A229D">
      <w:pPr>
        <w:outlineLvl w:val="0"/>
        <w:rPr>
          <w:rFonts w:hint="eastAsia" w:ascii="宋体" w:hAnsi="宋体" w:eastAsia="宋体" w:cs="宋体"/>
          <w:sz w:val="24"/>
          <w:szCs w:val="24"/>
        </w:rPr>
      </w:pPr>
    </w:p>
    <w:p w14:paraId="2F4BF23E">
      <w:pPr>
        <w:outlineLvl w:val="0"/>
        <w:rPr>
          <w:rFonts w:hint="eastAsia" w:ascii="宋体" w:hAnsi="宋体" w:eastAsia="宋体" w:cs="宋体"/>
          <w:sz w:val="24"/>
          <w:szCs w:val="24"/>
        </w:rPr>
      </w:pPr>
    </w:p>
    <w:p w14:paraId="3B8629A1">
      <w:pPr>
        <w:outlineLvl w:val="0"/>
        <w:rPr>
          <w:rFonts w:hint="eastAsia" w:ascii="宋体" w:hAnsi="宋体" w:eastAsia="宋体" w:cs="宋体"/>
          <w:sz w:val="24"/>
          <w:szCs w:val="24"/>
        </w:rPr>
      </w:pPr>
    </w:p>
    <w:p w14:paraId="66254400">
      <w:pPr>
        <w:outlineLvl w:val="0"/>
        <w:rPr>
          <w:rFonts w:hint="eastAsia" w:ascii="宋体" w:hAnsi="宋体" w:eastAsia="宋体" w:cs="宋体"/>
          <w:sz w:val="24"/>
          <w:szCs w:val="24"/>
        </w:rPr>
      </w:pPr>
    </w:p>
    <w:p w14:paraId="5A98B4AC">
      <w:pPr>
        <w:outlineLvl w:val="0"/>
        <w:rPr>
          <w:rFonts w:hint="eastAsia" w:ascii="宋体" w:hAnsi="宋体" w:eastAsia="宋体" w:cs="宋体"/>
          <w:sz w:val="24"/>
          <w:szCs w:val="24"/>
        </w:rPr>
      </w:pPr>
    </w:p>
    <w:p w14:paraId="1EECA9DE">
      <w:pPr>
        <w:outlineLvl w:val="0"/>
        <w:rPr>
          <w:rFonts w:hint="eastAsia" w:ascii="宋体" w:hAnsi="宋体" w:eastAsia="宋体" w:cs="宋体"/>
          <w:sz w:val="24"/>
          <w:szCs w:val="24"/>
        </w:rPr>
      </w:pPr>
    </w:p>
    <w:p w14:paraId="03D5EA3A">
      <w:pPr>
        <w:outlineLvl w:val="0"/>
        <w:rPr>
          <w:rFonts w:hint="eastAsia" w:ascii="宋体" w:hAnsi="宋体" w:eastAsia="宋体" w:cs="宋体"/>
          <w:sz w:val="24"/>
          <w:szCs w:val="24"/>
        </w:rPr>
      </w:pPr>
    </w:p>
    <w:p w14:paraId="60F9FBD5">
      <w:pPr>
        <w:outlineLvl w:val="0"/>
        <w:rPr>
          <w:rFonts w:hint="eastAsia" w:ascii="宋体" w:hAnsi="宋体" w:eastAsia="宋体" w:cs="宋体"/>
          <w:sz w:val="24"/>
          <w:szCs w:val="24"/>
        </w:rPr>
      </w:pPr>
    </w:p>
    <w:p w14:paraId="6D3B34DA">
      <w:pPr>
        <w:outlineLvl w:val="0"/>
        <w:rPr>
          <w:rFonts w:hint="eastAsia" w:ascii="宋体" w:hAnsi="宋体" w:eastAsia="宋体" w:cs="宋体"/>
          <w:sz w:val="24"/>
          <w:szCs w:val="24"/>
        </w:rPr>
      </w:pPr>
    </w:p>
    <w:p w14:paraId="72A5024B">
      <w:pPr>
        <w:outlineLvl w:val="0"/>
        <w:rPr>
          <w:rFonts w:hint="eastAsia" w:ascii="宋体" w:hAnsi="宋体" w:eastAsia="宋体" w:cs="宋体"/>
          <w:sz w:val="24"/>
          <w:szCs w:val="24"/>
        </w:rPr>
      </w:pPr>
    </w:p>
    <w:p w14:paraId="24D420F7">
      <w:pPr>
        <w:outlineLvl w:val="0"/>
        <w:rPr>
          <w:rFonts w:hint="eastAsia" w:ascii="宋体" w:hAnsi="宋体" w:eastAsia="宋体" w:cs="宋体"/>
          <w:sz w:val="24"/>
          <w:szCs w:val="24"/>
        </w:rPr>
      </w:pPr>
    </w:p>
    <w:p w14:paraId="49962469">
      <w:pPr>
        <w:outlineLvl w:val="0"/>
        <w:rPr>
          <w:rFonts w:hint="eastAsia" w:ascii="宋体" w:hAnsi="宋体" w:eastAsia="宋体" w:cs="宋体"/>
          <w:sz w:val="24"/>
          <w:szCs w:val="24"/>
        </w:rPr>
      </w:pPr>
    </w:p>
    <w:p w14:paraId="318C2A56">
      <w:pPr>
        <w:outlineLvl w:val="0"/>
        <w:rPr>
          <w:rFonts w:hint="eastAsia" w:ascii="宋体" w:hAnsi="宋体" w:eastAsia="宋体" w:cs="宋体"/>
          <w:sz w:val="24"/>
          <w:szCs w:val="24"/>
        </w:rPr>
      </w:pPr>
    </w:p>
    <w:p w14:paraId="5560D2D9">
      <w:pPr>
        <w:outlineLvl w:val="0"/>
        <w:rPr>
          <w:rFonts w:hint="eastAsia" w:ascii="宋体" w:hAnsi="宋体" w:eastAsia="宋体" w:cs="宋体"/>
          <w:sz w:val="24"/>
          <w:szCs w:val="24"/>
        </w:rPr>
      </w:pPr>
    </w:p>
    <w:p w14:paraId="710CED11">
      <w:pPr>
        <w:outlineLvl w:val="0"/>
        <w:rPr>
          <w:rFonts w:hint="eastAsia" w:ascii="宋体" w:hAnsi="宋体" w:eastAsia="宋体" w:cs="宋体"/>
          <w:sz w:val="24"/>
          <w:szCs w:val="24"/>
        </w:rPr>
      </w:pPr>
    </w:p>
    <w:p w14:paraId="3946058A">
      <w:pPr>
        <w:outlineLvl w:val="0"/>
        <w:rPr>
          <w:rFonts w:hint="eastAsia" w:ascii="宋体" w:hAnsi="宋体" w:eastAsia="宋体" w:cs="宋体"/>
          <w:sz w:val="24"/>
          <w:szCs w:val="24"/>
        </w:rPr>
      </w:pPr>
    </w:p>
    <w:p w14:paraId="0521DFCB">
      <w:pPr>
        <w:outlineLvl w:val="0"/>
        <w:rPr>
          <w:rFonts w:hint="eastAsia" w:ascii="宋体" w:hAnsi="宋体" w:eastAsia="宋体" w:cs="宋体"/>
          <w:sz w:val="24"/>
          <w:szCs w:val="24"/>
        </w:rPr>
      </w:pPr>
    </w:p>
    <w:p w14:paraId="4A9B4708">
      <w:pPr>
        <w:outlineLvl w:val="0"/>
        <w:rPr>
          <w:rFonts w:hint="eastAsia" w:ascii="宋体" w:hAnsi="宋体" w:eastAsia="宋体" w:cs="宋体"/>
          <w:sz w:val="24"/>
          <w:szCs w:val="24"/>
        </w:rPr>
      </w:pPr>
    </w:p>
    <w:p w14:paraId="32C4F699">
      <w:pPr>
        <w:outlineLvl w:val="0"/>
        <w:rPr>
          <w:rFonts w:hint="eastAsia" w:ascii="宋体" w:hAnsi="宋体" w:eastAsia="宋体" w:cs="宋体"/>
          <w:sz w:val="24"/>
          <w:szCs w:val="24"/>
        </w:rPr>
      </w:pPr>
    </w:p>
    <w:p w14:paraId="02FE8693">
      <w:pPr>
        <w:outlineLvl w:val="0"/>
        <w:rPr>
          <w:rFonts w:hint="eastAsia" w:ascii="宋体" w:hAnsi="宋体" w:eastAsia="宋体" w:cs="宋体"/>
          <w:sz w:val="24"/>
          <w:szCs w:val="24"/>
        </w:rPr>
      </w:pPr>
      <w:bookmarkStart w:id="29" w:name="_Toc216767952"/>
      <w:r>
        <w:rPr>
          <w:rFonts w:hint="eastAsia" w:ascii="宋体" w:hAnsi="宋体" w:eastAsia="宋体" w:cs="宋体"/>
          <w:sz w:val="24"/>
          <w:szCs w:val="24"/>
        </w:rPr>
        <w:t>九、参考文献</w:t>
      </w:r>
      <w:bookmarkEnd w:id="29"/>
    </w:p>
    <w:p w14:paraId="797D6534">
      <w:pPr>
        <w:pStyle w:val="9"/>
        <w:widowControl/>
        <w:numPr>
          <w:ilvl w:val="0"/>
          <w:numId w:val="10"/>
        </w:numPr>
        <w:spacing w:beforeAutospacing="0" w:afterAutospacing="0"/>
        <w:rPr>
          <w:rFonts w:hint="eastAsia" w:ascii="宋体" w:hAnsi="宋体" w:eastAsia="宋体" w:cs="宋体"/>
          <w:sz w:val="24"/>
          <w:szCs w:val="24"/>
        </w:rPr>
      </w:pPr>
      <w:r>
        <w:rPr>
          <w:rFonts w:hint="eastAsia" w:ascii="宋体" w:hAnsi="宋体" w:eastAsia="宋体" w:cs="宋体"/>
          <w:sz w:val="24"/>
          <w:szCs w:val="24"/>
        </w:rPr>
        <w:t>袁哲.KDJ、MACD及均线系统于A股指数的应用研究[D].上海：上海交通大学，2016</w:t>
      </w:r>
    </w:p>
    <w:p w14:paraId="5AA077C0">
      <w:pPr>
        <w:widowControl/>
        <w:jc w:val="left"/>
        <w:rPr>
          <w:rFonts w:hint="eastAsia" w:ascii="宋体" w:hAnsi="宋体" w:eastAsia="宋体" w:cs="宋体"/>
          <w:sz w:val="24"/>
          <w:szCs w:val="24"/>
        </w:rPr>
      </w:pPr>
      <w:r>
        <w:rPr>
          <w:rFonts w:hint="eastAsia" w:ascii="宋体" w:hAnsi="宋体" w:eastAsia="宋体" w:cs="宋体"/>
          <w:sz w:val="24"/>
          <w:szCs w:val="24"/>
        </w:rPr>
        <w:t>[2]  Jie Hua,Mao Lin Huang,Guohua Wang,Mouataz Zreik.Applying Data Visualization Techniques</w:t>
      </w:r>
    </w:p>
    <w:p w14:paraId="591ED4E5">
      <w:pPr>
        <w:widowControl/>
        <w:jc w:val="left"/>
        <w:rPr>
          <w:rFonts w:hint="eastAsia" w:ascii="宋体" w:hAnsi="宋体" w:eastAsia="宋体" w:cs="宋体"/>
          <w:sz w:val="24"/>
          <w:szCs w:val="24"/>
        </w:rPr>
      </w:pPr>
      <w:r>
        <w:rPr>
          <w:rFonts w:hint="eastAsia" w:ascii="宋体" w:hAnsi="宋体" w:eastAsia="宋体" w:cs="宋体"/>
          <w:sz w:val="24"/>
          <w:szCs w:val="24"/>
        </w:rPr>
        <w:t>for Stock Relationship Analysis[J].Filomat,2018,32(5):1931-1936</w:t>
      </w:r>
    </w:p>
    <w:p w14:paraId="0EDA2E5C">
      <w:pPr>
        <w:widowControl/>
        <w:jc w:val="left"/>
        <w:rPr>
          <w:rFonts w:hint="eastAsia" w:ascii="宋体" w:hAnsi="宋体" w:eastAsia="宋体" w:cs="宋体"/>
          <w:sz w:val="24"/>
          <w:szCs w:val="24"/>
        </w:rPr>
      </w:pPr>
      <w:r>
        <w:rPr>
          <w:rFonts w:hint="eastAsia" w:ascii="宋体" w:hAnsi="宋体" w:eastAsia="宋体" w:cs="宋体"/>
          <w:sz w:val="24"/>
          <w:szCs w:val="24"/>
        </w:rPr>
        <w:t>[3]  李思佳.基于 Python 的股票数据可视化分析——以新能源汽车行业为例[J].河北软件职业技术学院学报,2021,23(3):15-18</w:t>
      </w:r>
    </w:p>
    <w:p w14:paraId="633138BD">
      <w:pPr>
        <w:pStyle w:val="9"/>
        <w:widowControl/>
        <w:spacing w:beforeAutospacing="0" w:afterAutospacing="0"/>
        <w:rPr>
          <w:rFonts w:hint="eastAsia" w:ascii="宋体" w:hAnsi="宋体" w:eastAsia="宋体" w:cs="宋体"/>
          <w:sz w:val="24"/>
          <w:szCs w:val="24"/>
        </w:rPr>
      </w:pPr>
      <w:r>
        <w:rPr>
          <w:rFonts w:hint="eastAsia" w:ascii="宋体" w:hAnsi="宋体" w:eastAsia="宋体" w:cs="宋体"/>
          <w:sz w:val="24"/>
          <w:szCs w:val="24"/>
        </w:rPr>
        <w:t>[4] 夏应慈.基于趋势分析下的中小投资者资金管理策略研究[D].浙江：浙江大学，2018</w:t>
      </w:r>
    </w:p>
    <w:p w14:paraId="725AA923">
      <w:pPr>
        <w:pStyle w:val="9"/>
        <w:widowControl/>
        <w:spacing w:beforeAutospacing="0" w:afterAutospacing="0"/>
        <w:rPr>
          <w:rFonts w:hint="eastAsia" w:ascii="宋体" w:hAnsi="宋体" w:eastAsia="宋体" w:cs="宋体"/>
          <w:sz w:val="24"/>
          <w:szCs w:val="24"/>
        </w:rPr>
      </w:pPr>
      <w:r>
        <w:rPr>
          <w:rFonts w:hint="eastAsia" w:ascii="宋体" w:hAnsi="宋体" w:eastAsia="宋体" w:cs="宋体"/>
          <w:sz w:val="24"/>
          <w:szCs w:val="24"/>
        </w:rPr>
        <w:t>[5] 路瑶南.融资融券对股票市场股价波动的影响研究[D].吉林：吉林财经大学，2022</w:t>
      </w:r>
    </w:p>
    <w:p w14:paraId="1B1794EF">
      <w:pPr>
        <w:pStyle w:val="9"/>
        <w:widowControl/>
        <w:spacing w:beforeAutospacing="0" w:afterAutospacing="0"/>
        <w:rPr>
          <w:rFonts w:hint="eastAsia" w:ascii="宋体" w:hAnsi="宋体" w:eastAsia="宋体" w:cs="宋体"/>
          <w:sz w:val="24"/>
          <w:szCs w:val="24"/>
        </w:rPr>
      </w:pPr>
    </w:p>
    <w:p w14:paraId="72B959FB">
      <w:pPr>
        <w:pStyle w:val="9"/>
        <w:widowControl/>
        <w:spacing w:beforeAutospacing="0" w:afterAutospacing="0"/>
        <w:rPr>
          <w:rFonts w:hint="eastAsia" w:ascii="宋体" w:hAnsi="宋体" w:eastAsia="宋体" w:cs="宋体"/>
          <w:sz w:val="24"/>
          <w:szCs w:val="24"/>
        </w:rPr>
      </w:pPr>
    </w:p>
    <w:p w14:paraId="4BBDE520">
      <w:pPr>
        <w:widowControl/>
        <w:jc w:val="left"/>
        <w:rPr>
          <w:rFonts w:hint="eastAsia" w:ascii="宋体" w:hAnsi="宋体" w:eastAsia="宋体" w:cs="宋体"/>
          <w:sz w:val="24"/>
          <w:szCs w:val="24"/>
        </w:rPr>
      </w:pPr>
    </w:p>
    <w:p w14:paraId="4F0BC8AD">
      <w:pPr>
        <w:widowControl/>
        <w:jc w:val="center"/>
        <w:rPr>
          <w:rFonts w:hint="eastAsia" w:ascii="宋体" w:hAnsi="宋体" w:eastAsia="宋体" w:cs="宋体"/>
          <w:sz w:val="24"/>
          <w:szCs w:val="24"/>
        </w:rPr>
      </w:pPr>
    </w:p>
    <w:p w14:paraId="121E7CB4">
      <w:pPr>
        <w:widowControl/>
        <w:ind w:firstLine="420"/>
        <w:jc w:val="left"/>
        <w:rPr>
          <w:rFonts w:hint="eastAsia" w:ascii="宋体" w:hAnsi="宋体" w:eastAsia="宋体" w:cs="宋体"/>
          <w:color w:val="000000"/>
          <w:kern w:val="0"/>
          <w:sz w:val="24"/>
          <w:szCs w:val="24"/>
          <w:lang w:bidi="ar"/>
        </w:rPr>
      </w:pPr>
    </w:p>
    <w:p w14:paraId="36A2AF6D">
      <w:pPr>
        <w:widowControl/>
        <w:ind w:firstLine="420"/>
        <w:jc w:val="left"/>
        <w:rPr>
          <w:rFonts w:hint="eastAsia" w:ascii="宋体" w:hAnsi="宋体" w:eastAsia="宋体" w:cs="宋体"/>
          <w:color w:val="000000"/>
          <w:kern w:val="0"/>
          <w:sz w:val="24"/>
          <w:szCs w:val="24"/>
          <w:lang w:bidi="ar"/>
        </w:rPr>
      </w:pPr>
    </w:p>
    <w:p w14:paraId="1A30BE9E">
      <w:pPr>
        <w:widowControl/>
        <w:ind w:firstLine="420"/>
        <w:jc w:val="left"/>
        <w:rPr>
          <w:rFonts w:hint="eastAsia" w:ascii="宋体" w:hAnsi="宋体" w:eastAsia="宋体" w:cs="宋体"/>
          <w:color w:val="000000"/>
          <w:kern w:val="0"/>
          <w:sz w:val="24"/>
          <w:szCs w:val="24"/>
          <w:lang w:bidi="ar"/>
        </w:rPr>
      </w:pPr>
    </w:p>
    <w:p w14:paraId="5B0D7AF4">
      <w:pPr>
        <w:widowControl/>
        <w:jc w:val="left"/>
        <w:rPr>
          <w:rFonts w:hint="eastAsia" w:ascii="宋体" w:hAnsi="宋体" w:eastAsia="宋体" w:cs="宋体"/>
          <w:color w:val="000000"/>
          <w:kern w:val="0"/>
          <w:sz w:val="24"/>
          <w:szCs w:val="24"/>
          <w:lang w:bidi="ar"/>
        </w:rPr>
      </w:pPr>
    </w:p>
    <w:p w14:paraId="2F32CE64">
      <w:pPr>
        <w:rPr>
          <w:rFonts w:hint="eastAsia" w:ascii="宋体" w:hAnsi="宋体" w:eastAsia="宋体" w:cs="宋体"/>
          <w:sz w:val="24"/>
        </w:rPr>
      </w:pPr>
    </w:p>
    <w:p w14:paraId="4B248D72">
      <w:pPr>
        <w:ind w:firstLine="480" w:firstLineChars="200"/>
        <w:rPr>
          <w:rFonts w:hint="eastAsia" w:ascii="宋体" w:hAnsi="宋体" w:eastAsia="宋体" w:cs="宋体"/>
          <w:sz w:val="24"/>
        </w:rPr>
      </w:pPr>
    </w:p>
    <w:p w14:paraId="54533451">
      <w:pPr>
        <w:rPr>
          <w:rFonts w:hint="eastAsia" w:ascii="宋体" w:hAnsi="宋体" w:eastAsia="宋体" w:cs="宋体"/>
          <w:sz w:val="24"/>
        </w:rPr>
      </w:pPr>
      <w:r>
        <w:rPr>
          <w:rFonts w:hint="eastAsia" w:ascii="宋体" w:hAnsi="宋体" w:eastAsia="宋体" w:cs="宋体"/>
          <w:sz w:val="24"/>
        </w:rPr>
        <w:t xml:space="preserve">  </w:t>
      </w:r>
    </w:p>
    <w:p w14:paraId="170AE277">
      <w:pPr>
        <w:rPr>
          <w:rFonts w:hint="eastAsia" w:ascii="宋体" w:hAnsi="宋体" w:eastAsia="宋体" w:cs="宋体"/>
          <w:sz w:val="24"/>
        </w:rPr>
      </w:pPr>
    </w:p>
    <w:p w14:paraId="179EBD4F">
      <w:pPr>
        <w:rPr>
          <w:rFonts w:hint="eastAsia" w:ascii="宋体" w:hAnsi="宋体" w:eastAsia="宋体" w:cs="宋体"/>
          <w:sz w:val="24"/>
        </w:rPr>
      </w:pPr>
    </w:p>
    <w:p w14:paraId="3FD13D84">
      <w:pPr>
        <w:ind w:firstLine="480" w:firstLineChars="200"/>
        <w:rPr>
          <w:rFonts w:hint="eastAsia" w:ascii="宋体" w:hAnsi="宋体" w:eastAsia="宋体" w:cs="宋体"/>
          <w:sz w:val="24"/>
        </w:rPr>
      </w:pPr>
    </w:p>
    <w:p w14:paraId="5931C52C">
      <w:pPr>
        <w:ind w:firstLine="480" w:firstLineChars="200"/>
        <w:rPr>
          <w:rFonts w:hint="eastAsia" w:ascii="宋体" w:hAnsi="宋体" w:eastAsia="宋体" w:cs="宋体"/>
          <w:sz w:val="24"/>
        </w:rPr>
      </w:pPr>
    </w:p>
    <w:p w14:paraId="6566091E">
      <w:pPr>
        <w:rPr>
          <w:rFonts w:hint="eastAsia" w:ascii="宋体" w:hAnsi="宋体" w:eastAsia="宋体" w:cs="宋体"/>
          <w:sz w:val="24"/>
        </w:rPr>
      </w:pPr>
    </w:p>
    <w:p w14:paraId="16789F77">
      <w:pPr>
        <w:rPr>
          <w:rFonts w:hint="eastAsia" w:ascii="宋体" w:hAnsi="宋体" w:eastAsia="宋体" w:cs="宋体"/>
          <w:sz w:val="24"/>
        </w:rPr>
      </w:pPr>
    </w:p>
    <w:p w14:paraId="2C8A4A5C">
      <w:pPr>
        <w:rPr>
          <w:rFonts w:hint="eastAsia" w:ascii="宋体" w:hAnsi="宋体" w:eastAsia="宋体" w:cs="宋体"/>
          <w:sz w:val="24"/>
        </w:rPr>
      </w:pPr>
    </w:p>
    <w:p w14:paraId="505372C1">
      <w:pPr>
        <w:rPr>
          <w:rFonts w:hint="eastAsia" w:ascii="宋体" w:hAnsi="宋体" w:eastAsia="宋体" w:cs="宋体"/>
          <w:sz w:val="24"/>
        </w:rPr>
      </w:pPr>
    </w:p>
    <w:p w14:paraId="2C662CF5">
      <w:pPr>
        <w:rPr>
          <w:rFonts w:hint="eastAsia" w:ascii="宋体" w:hAnsi="宋体" w:eastAsia="宋体" w:cs="宋体"/>
          <w:sz w:val="24"/>
        </w:rPr>
      </w:pPr>
    </w:p>
    <w:p w14:paraId="66D77A7C">
      <w:pPr>
        <w:rPr>
          <w:rFonts w:hint="eastAsia" w:ascii="宋体" w:hAnsi="宋体" w:eastAsia="宋体" w:cs="宋体"/>
          <w:sz w:val="24"/>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703020204020201"/>
    <w:charset w:val="86"/>
    <w:family w:val="swiss"/>
    <w:pitch w:val="default"/>
    <w:sig w:usb0="80000287" w:usb1="1A0F3C52" w:usb2="00000010"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636E8">
    <w:pPr>
      <w:pStyle w:val="4"/>
    </w:pPr>
    <w:r>
      <mc:AlternateContent>
        <mc:Choice Requires="wps">
          <w:drawing>
            <wp:anchor distT="0" distB="0" distL="114300" distR="114300" simplePos="0" relativeHeight="251660288" behindDoc="0" locked="0" layoutInCell="1" allowOverlap="1">
              <wp:simplePos x="0" y="0"/>
              <wp:positionH relativeFrom="margin">
                <wp:posOffset>2604770</wp:posOffset>
              </wp:positionH>
              <wp:positionV relativeFrom="paragraph">
                <wp:posOffset>-171450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6D1F5A">
                          <w:pPr>
                            <w:pStyle w:val="4"/>
                            <w:rPr>
                              <w:rFonts w:hint="eastAsia" w:ascii="微软雅黑" w:hAnsi="微软雅黑" w:eastAsia="微软雅黑" w:cs="微软雅黑"/>
                              <w:color w:val="4874CB" w:themeColor="accent1"/>
                              <w:szCs w:val="18"/>
                              <w14:textFill>
                                <w14:solidFill>
                                  <w14:schemeClr w14:val="accent1"/>
                                </w14:solidFill>
                              </w14:textFill>
                            </w:rPr>
                          </w:pPr>
                          <w:r>
                            <w:rPr>
                              <w:rFonts w:hint="eastAsia" w:ascii="微软雅黑" w:hAnsi="微软雅黑" w:eastAsia="微软雅黑" w:cs="微软雅黑"/>
                              <w:color w:val="4874CB" w:themeColor="accent1"/>
                              <w:szCs w:val="18"/>
                              <w14:textFill>
                                <w14:solidFill>
                                  <w14:schemeClr w14:val="accent1"/>
                                </w14:solidFill>
                              </w14:textFill>
                            </w:rPr>
                            <w:fldChar w:fldCharType="begin"/>
                          </w:r>
                          <w:r>
                            <w:rPr>
                              <w:rFonts w:hint="eastAsia" w:ascii="微软雅黑" w:hAnsi="微软雅黑" w:eastAsia="微软雅黑" w:cs="微软雅黑"/>
                              <w:color w:val="4874CB" w:themeColor="accent1"/>
                              <w:szCs w:val="18"/>
                              <w14:textFill>
                                <w14:solidFill>
                                  <w14:schemeClr w14:val="accent1"/>
                                </w14:solidFill>
                              </w14:textFill>
                            </w:rPr>
                            <w:instrText xml:space="preserve"> PAGE  \* MERGEFORMAT </w:instrText>
                          </w:r>
                          <w:r>
                            <w:rPr>
                              <w:rFonts w:hint="eastAsia" w:ascii="微软雅黑" w:hAnsi="微软雅黑" w:eastAsia="微软雅黑" w:cs="微软雅黑"/>
                              <w:color w:val="4874CB" w:themeColor="accent1"/>
                              <w:szCs w:val="18"/>
                              <w14:textFill>
                                <w14:solidFill>
                                  <w14:schemeClr w14:val="accent1"/>
                                </w14:solidFill>
                              </w14:textFill>
                            </w:rPr>
                            <w:fldChar w:fldCharType="separate"/>
                          </w:r>
                          <w:r>
                            <w:rPr>
                              <w:rFonts w:hint="eastAsia" w:ascii="微软雅黑" w:hAnsi="微软雅黑" w:eastAsia="微软雅黑" w:cs="微软雅黑"/>
                              <w:color w:val="4874CB" w:themeColor="accent1"/>
                              <w:szCs w:val="18"/>
                              <w14:textFill>
                                <w14:solidFill>
                                  <w14:schemeClr w14:val="accent1"/>
                                </w14:solidFill>
                              </w14:textFill>
                            </w:rPr>
                            <w:t>1</w:t>
                          </w:r>
                          <w:r>
                            <w:rPr>
                              <w:rFonts w:hint="eastAsia" w:ascii="微软雅黑" w:hAnsi="微软雅黑" w:eastAsia="微软雅黑" w:cs="微软雅黑"/>
                              <w:color w:val="4874CB" w:themeColor="accent1"/>
                              <w:szCs w:val="18"/>
                              <w14:textFill>
                                <w14:solidFill>
                                  <w14:schemeClr w14:val="accent1"/>
                                </w14:solidFill>
                              </w14:textFill>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1pt;margin-top:-13.5pt;height:144pt;width:144pt;mso-position-horizontal-relative:margin;mso-wrap-style:none;z-index:251660288;mso-width-relative:page;mso-height-relative:page;" filled="f" stroked="f" coordsize="21600,21600" o:gfxdata="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uFztbYAAAACwEAAA8AAAAAAAAAAQAgAAAAIgAAAGRycy9kb3ducmV2LnhtbFBLAQIU&#10;ABQAAAAIAIdO4kDh940jLAIAAFcEAAAOAAAAAAAAAAEAIAAAACcBAABkcnMvZTJvRG9jLnhtbFBL&#10;BQYAAAAABgAGAFkBAADFBQAAAAA=&#10;">
              <v:fill on="f" focussize="0,0"/>
              <v:stroke on="f" weight="0.5pt"/>
              <v:imagedata o:title=""/>
              <o:lock v:ext="edit" aspectratio="f"/>
              <v:textbox inset="0mm,0mm,0mm,0mm" style="mso-fit-shape-to-text:t;">
                <w:txbxContent>
                  <w:p w14:paraId="576D1F5A">
                    <w:pPr>
                      <w:pStyle w:val="4"/>
                      <w:rPr>
                        <w:rFonts w:hint="eastAsia" w:ascii="微软雅黑" w:hAnsi="微软雅黑" w:eastAsia="微软雅黑" w:cs="微软雅黑"/>
                        <w:color w:val="4874CB" w:themeColor="accent1"/>
                        <w:szCs w:val="18"/>
                        <w14:textFill>
                          <w14:solidFill>
                            <w14:schemeClr w14:val="accent1"/>
                          </w14:solidFill>
                        </w14:textFill>
                      </w:rPr>
                    </w:pPr>
                    <w:r>
                      <w:rPr>
                        <w:rFonts w:hint="eastAsia" w:ascii="微软雅黑" w:hAnsi="微软雅黑" w:eastAsia="微软雅黑" w:cs="微软雅黑"/>
                        <w:color w:val="4874CB" w:themeColor="accent1"/>
                        <w:szCs w:val="18"/>
                        <w14:textFill>
                          <w14:solidFill>
                            <w14:schemeClr w14:val="accent1"/>
                          </w14:solidFill>
                        </w14:textFill>
                      </w:rPr>
                      <w:fldChar w:fldCharType="begin"/>
                    </w:r>
                    <w:r>
                      <w:rPr>
                        <w:rFonts w:hint="eastAsia" w:ascii="微软雅黑" w:hAnsi="微软雅黑" w:eastAsia="微软雅黑" w:cs="微软雅黑"/>
                        <w:color w:val="4874CB" w:themeColor="accent1"/>
                        <w:szCs w:val="18"/>
                        <w14:textFill>
                          <w14:solidFill>
                            <w14:schemeClr w14:val="accent1"/>
                          </w14:solidFill>
                        </w14:textFill>
                      </w:rPr>
                      <w:instrText xml:space="preserve"> PAGE  \* MERGEFORMAT </w:instrText>
                    </w:r>
                    <w:r>
                      <w:rPr>
                        <w:rFonts w:hint="eastAsia" w:ascii="微软雅黑" w:hAnsi="微软雅黑" w:eastAsia="微软雅黑" w:cs="微软雅黑"/>
                        <w:color w:val="4874CB" w:themeColor="accent1"/>
                        <w:szCs w:val="18"/>
                        <w14:textFill>
                          <w14:solidFill>
                            <w14:schemeClr w14:val="accent1"/>
                          </w14:solidFill>
                        </w14:textFill>
                      </w:rPr>
                      <w:fldChar w:fldCharType="separate"/>
                    </w:r>
                    <w:r>
                      <w:rPr>
                        <w:rFonts w:hint="eastAsia" w:ascii="微软雅黑" w:hAnsi="微软雅黑" w:eastAsia="微软雅黑" w:cs="微软雅黑"/>
                        <w:color w:val="4874CB" w:themeColor="accent1"/>
                        <w:szCs w:val="18"/>
                        <w14:textFill>
                          <w14:solidFill>
                            <w14:schemeClr w14:val="accent1"/>
                          </w14:solidFill>
                        </w14:textFill>
                      </w:rPr>
                      <w:t>1</w:t>
                    </w:r>
                    <w:r>
                      <w:rPr>
                        <w:rFonts w:hint="eastAsia" w:ascii="微软雅黑" w:hAnsi="微软雅黑" w:eastAsia="微软雅黑" w:cs="微软雅黑"/>
                        <w:color w:val="4874CB" w:themeColor="accent1"/>
                        <w:szCs w:val="18"/>
                        <w14:textFill>
                          <w14:solidFill>
                            <w14:schemeClr w14:val="accent1"/>
                          </w14:solidFill>
                        </w14:textFill>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4F3C">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A812B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31A812B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2DA0D"/>
    <w:multiLevelType w:val="singleLevel"/>
    <w:tmpl w:val="A1C2DA0D"/>
    <w:lvl w:ilvl="0" w:tentative="0">
      <w:start w:val="5"/>
      <w:numFmt w:val="chineseCounting"/>
      <w:suff w:val="nothing"/>
      <w:lvlText w:val="%1、"/>
      <w:lvlJc w:val="left"/>
      <w:rPr>
        <w:rFonts w:hint="eastAsia"/>
      </w:rPr>
    </w:lvl>
  </w:abstractNum>
  <w:abstractNum w:abstractNumId="1">
    <w:nsid w:val="C9813D2F"/>
    <w:multiLevelType w:val="singleLevel"/>
    <w:tmpl w:val="C9813D2F"/>
    <w:lvl w:ilvl="0" w:tentative="0">
      <w:start w:val="3"/>
      <w:numFmt w:val="chineseCounting"/>
      <w:suff w:val="nothing"/>
      <w:lvlText w:val="%1．"/>
      <w:lvlJc w:val="left"/>
      <w:rPr>
        <w:rFonts w:hint="eastAsia"/>
      </w:rPr>
    </w:lvl>
  </w:abstractNum>
  <w:abstractNum w:abstractNumId="2">
    <w:nsid w:val="0249656F"/>
    <w:multiLevelType w:val="multilevel"/>
    <w:tmpl w:val="0249656F"/>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03CB9F88"/>
    <w:multiLevelType w:val="singleLevel"/>
    <w:tmpl w:val="03CB9F88"/>
    <w:lvl w:ilvl="0" w:tentative="0">
      <w:start w:val="1"/>
      <w:numFmt w:val="decimal"/>
      <w:suff w:val="space"/>
      <w:lvlText w:val="[%1]"/>
      <w:lvlJc w:val="left"/>
    </w:lvl>
  </w:abstractNum>
  <w:abstractNum w:abstractNumId="4">
    <w:nsid w:val="14034DFC"/>
    <w:multiLevelType w:val="singleLevel"/>
    <w:tmpl w:val="14034DFC"/>
    <w:lvl w:ilvl="0" w:tentative="0">
      <w:start w:val="2"/>
      <w:numFmt w:val="chineseCounting"/>
      <w:suff w:val="nothing"/>
      <w:lvlText w:val="%1、"/>
      <w:lvlJc w:val="left"/>
      <w:rPr>
        <w:rFonts w:hint="eastAsia"/>
      </w:rPr>
    </w:lvl>
  </w:abstractNum>
  <w:abstractNum w:abstractNumId="5">
    <w:nsid w:val="2E6371A4"/>
    <w:multiLevelType w:val="singleLevel"/>
    <w:tmpl w:val="2E6371A4"/>
    <w:lvl w:ilvl="0" w:tentative="0">
      <w:start w:val="1"/>
      <w:numFmt w:val="decimal"/>
      <w:suff w:val="nothing"/>
      <w:lvlText w:val="（%1）"/>
      <w:lvlJc w:val="left"/>
    </w:lvl>
  </w:abstractNum>
  <w:abstractNum w:abstractNumId="6">
    <w:nsid w:val="32DB2ABF"/>
    <w:multiLevelType w:val="multilevel"/>
    <w:tmpl w:val="32DB2ABF"/>
    <w:lvl w:ilvl="0" w:tentative="0">
      <w:start w:val="1"/>
      <w:numFmt w:val="decimal"/>
      <w:lvlText w:val="（%1）"/>
      <w:lvlJc w:val="left"/>
      <w:pPr>
        <w:tabs>
          <w:tab w:val="left" w:pos="720"/>
        </w:tabs>
        <w:ind w:left="720" w:hanging="360"/>
      </w:pPr>
      <w:rPr>
        <w:rFonts w:asciiTheme="minorHAnsi" w:hAnsiTheme="minorHAnsi" w:eastAsiaTheme="minorEastAsia" w:cstheme="minorBid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AFA12D2"/>
    <w:multiLevelType w:val="singleLevel"/>
    <w:tmpl w:val="3AFA12D2"/>
    <w:lvl w:ilvl="0" w:tentative="0">
      <w:start w:val="1"/>
      <w:numFmt w:val="chineseCounting"/>
      <w:suff w:val="nothing"/>
      <w:lvlText w:val="%1、"/>
      <w:lvlJc w:val="left"/>
      <w:rPr>
        <w:rFonts w:hint="eastAsia"/>
      </w:rPr>
    </w:lvl>
  </w:abstractNum>
  <w:abstractNum w:abstractNumId="8">
    <w:nsid w:val="7CC02B69"/>
    <w:multiLevelType w:val="multilevel"/>
    <w:tmpl w:val="7CC02B69"/>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
    <w:nsid w:val="7D074DD0"/>
    <w:multiLevelType w:val="multilevel"/>
    <w:tmpl w:val="7D074DD0"/>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7"/>
  </w:num>
  <w:num w:numId="2">
    <w:abstractNumId w:val="4"/>
  </w:num>
  <w:num w:numId="3">
    <w:abstractNumId w:val="1"/>
  </w:num>
  <w:num w:numId="4">
    <w:abstractNumId w:val="5"/>
  </w:num>
  <w:num w:numId="5">
    <w:abstractNumId w:val="0"/>
  </w:num>
  <w:num w:numId="6">
    <w:abstractNumId w:val="6"/>
  </w:num>
  <w:num w:numId="7">
    <w:abstractNumId w:val="2"/>
  </w:num>
  <w:num w:numId="8">
    <w:abstractNumId w:val="8"/>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D81B7E"/>
    <w:rsid w:val="00071638"/>
    <w:rsid w:val="00326C0B"/>
    <w:rsid w:val="00434699"/>
    <w:rsid w:val="004A34CF"/>
    <w:rsid w:val="00872D3F"/>
    <w:rsid w:val="009C5DD1"/>
    <w:rsid w:val="00A85F9A"/>
    <w:rsid w:val="00AB6005"/>
    <w:rsid w:val="00C9213B"/>
    <w:rsid w:val="00CF4AC6"/>
    <w:rsid w:val="00F84352"/>
    <w:rsid w:val="0CBE77FD"/>
    <w:rsid w:val="10560B22"/>
    <w:rsid w:val="168C73E8"/>
    <w:rsid w:val="1BB00864"/>
    <w:rsid w:val="27E4201E"/>
    <w:rsid w:val="28FE04DF"/>
    <w:rsid w:val="2A283130"/>
    <w:rsid w:val="3DA3CAB4"/>
    <w:rsid w:val="47FF2A2E"/>
    <w:rsid w:val="48567268"/>
    <w:rsid w:val="5BE94124"/>
    <w:rsid w:val="6A1877F2"/>
    <w:rsid w:val="75427AEF"/>
    <w:rsid w:val="7C5F7EA4"/>
    <w:rsid w:val="7FD81B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qFormat/>
    <w:uiPriority w:val="39"/>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39"/>
  </w:style>
  <w:style w:type="paragraph" w:styleId="7">
    <w:name w:val="toc 2"/>
    <w:basedOn w:val="1"/>
    <w:next w:val="1"/>
    <w:qFormat/>
    <w:uiPriority w:val="39"/>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pPr>
      <w:spacing w:beforeAutospacing="1" w:afterAutospacing="1"/>
      <w:jc w:val="left"/>
    </w:pPr>
    <w:rPr>
      <w:rFonts w:cs="Times New Roman"/>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nhideWhenUsed/>
    <w:uiPriority w:val="99"/>
    <w:rPr>
      <w:color w:val="0026E5" w:themeColor="hyperlink"/>
      <w:u w:val="single"/>
      <w14:textFill>
        <w14:solidFill>
          <w14:schemeClr w14:val="hlink"/>
        </w14:solidFill>
      </w14:textFill>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7855</Words>
  <Characters>8528</Characters>
  <Lines>319</Lines>
  <Paragraphs>172</Paragraphs>
  <TotalTime>15</TotalTime>
  <ScaleCrop>false</ScaleCrop>
  <LinksUpToDate>false</LinksUpToDate>
  <CharactersWithSpaces>8921</CharactersWithSpaces>
  <Application>WPS Office WWO_wpscloud_20250326182431-11448cd808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2025-12-16T08:58:00Z</dcterms:created>
  <dc:creator>as</dc:creator>
  <cp:lastModifiedBy>as</cp:lastModifiedBy>
  <dcterms:modified xsi:type="dcterms:W3CDTF">2025-12-16T14:30:39Z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F877898E6CC1733E8FFC406990D5C0ED_43</vt:lpwstr>
  </property>
  <property fmtid="{D5CDD505-2E9C-101B-9397-08002B2CF9AE}" pid="4" name="KSOTemplateDocerSaveRecord">
    <vt:lpwstr>eyJoZGlkIjoiYjVhZGU5MWVhNGE1M2FmZDJkNWIzOTFjZGRhOWFhNjEiLCJ1c2VySWQiOiIxNTI4OTI4ODQwIn0=</vt:lpwstr>
  </property>
</Properties>
</file>