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1200"/>
            <w:tcMar>
              <w:top w:type="dxa" w:w="60"/>
              <w:left w:type="dxa" w:w="100"/>
              <w:bottom w:type="dxa" w:w="60"/>
              <w:right w:type="dxa" w:w="100"/>
            </w:tcMar>
            <w:vAlign w:val="top"/>
          </w:tcPr>
          <w:p>
            <w:pPr>
              <w:jc w:val="center"/>
            </w:pPr>
            <w:r>
              <w:drawing>
                <wp:inline distT="0" distB="0" distL="0" distR="0">
                  <wp:extent cx="571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581025"/>
                          </a:xfrm>
                          <a:prstGeom prst="rect">
                            <a:avLst/>
                          </a:prstGeom>
                        </pic:spPr>
                      </pic:pic>
                    </a:graphicData>
                  </a:graphic>
                </wp:inline>
              </w:drawing>
            </w:r>
          </w:p>
        </w:tc>
        <w:tc>
          <w:tcPr>
            <w:tcW w:type="dxa" w:w="8880"/>
            <w:tcMar>
              <w:top w:type="dxa" w:w="60"/>
              <w:left w:type="dxa" w:w="100"/>
              <w:bottom w:type="dxa" w:w="60"/>
              <w:right w:type="dxa" w:w="100"/>
            </w:tcMar>
            <w:vAlign w:val="top"/>
          </w:tcPr>
          <w:p>
            <w:pPr>
              <w:spacing w:after="20" w:before="0" w:line="276"/>
              <w:jc w:val="center"/>
            </w:pPr>
            <w:r>
              <w:rPr>
                <w:rFonts w:ascii="Times New Roman" w:cs="Times New Roman" w:eastAsia="Times New Roman" w:hAnsi="Times New Roman"/>
                <w:b/>
                <w:bCs/>
                <w:i w:val="false"/>
                <w:iCs w:val="false"/>
                <w:sz w:val="22"/>
                <w:szCs w:val="22"/>
              </w:rPr>
              <w:t xml:space="preserve">MINDANAO STATE UNIVERSITY - ILIGAN INSTITUTE OF TECHNOLOGY</w:t>
            </w:r>
          </w:p>
          <w:p>
            <w:pPr>
              <w:spacing w:after="20" w:before="0" w:line="276"/>
              <w:jc w:val="center"/>
            </w:pPr>
            <w:r>
              <w:rPr>
                <w:rFonts w:ascii="Times New Roman" w:cs="Times New Roman" w:eastAsia="Times New Roman" w:hAnsi="Times New Roman"/>
                <w:b w:val="false"/>
                <w:bCs w:val="false"/>
                <w:i w:val="false"/>
                <w:iCs w:val="false"/>
                <w:sz w:val="20"/>
                <w:szCs w:val="20"/>
              </w:rPr>
              <w:t xml:space="preserve">Office of the Vice Chancellor for Research and Enterprise</w:t>
            </w:r>
          </w:p>
          <w:p>
            <w:pPr>
              <w:spacing w:after="0" w:before="0" w:line="276"/>
              <w:jc w:val="center"/>
            </w:pPr>
            <w:r>
              <w:rPr>
                <w:rFonts w:ascii="Times New Roman" w:cs="Times New Roman" w:eastAsia="Times New Roman" w:hAnsi="Times New Roman"/>
                <w:b/>
                <w:bCs/>
                <w:i w:val="false"/>
                <w:iCs w:val="false"/>
                <w:sz w:val="20"/>
                <w:szCs w:val="20"/>
              </w:rPr>
              <w:t xml:space="preserve">OFFICE OF RESEARCH MANAGEMENT</w:t>
            </w:r>
          </w:p>
        </w:tc>
      </w:tr>
    </w:tbl>
    <w:p>
      <w:pPr>
        <w:spacing w:after="6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jc w:val="center"/>
      </w:pPr>
      <w:r>
        <w:rPr>
          <w:rFonts w:ascii="Times New Roman" w:cs="Times New Roman" w:eastAsia="Times New Roman" w:hAnsi="Times New Roman"/>
          <w:b/>
          <w:bCs/>
          <w:i w:val="false"/>
          <w:iCs w:val="false"/>
          <w:sz w:val="28"/>
          <w:szCs w:val="28"/>
        </w:rPr>
        <w:t xml:space="preserve">RESEARCH PROJECT PROPOSAL</w:t>
      </w:r>
    </w:p>
    <w:p>
      <w:pPr>
        <w:spacing w:after="200" w:before="0" w:line="276"/>
        <w:jc w:val="center"/>
      </w:pPr>
      <w:r>
        <w:rPr>
          <w:rFonts w:ascii="Times New Roman" w:cs="Times New Roman" w:eastAsia="Times New Roman" w:hAnsi="Times New Roman"/>
          <w:b w:val="false"/>
          <w:bCs w:val="false"/>
          <w:i/>
          <w:iCs/>
          <w:sz w:val="18"/>
          <w:szCs w:val="18"/>
        </w:rPr>
        <w:t xml:space="preserve">ORM-RP Form 01</w:t>
      </w:r>
    </w:p>
    <w:p>
      <w:pPr>
        <w:spacing w:after="140" w:before="280"/>
      </w:pPr>
      <w:r>
        <w:rPr>
          <w:rFonts w:ascii="Times New Roman" w:cs="Times New Roman" w:eastAsia="Times New Roman" w:hAnsi="Times New Roman"/>
          <w:b/>
          <w:bCs/>
          <w:sz w:val="23"/>
          <w:szCs w:val="23"/>
          <w:u w:val="single"/>
        </w:rPr>
        <w:t xml:space="preserve">(1) PROJECT PROFILE</w:t>
      </w:r>
    </w:p>
    <w:p>
      <w:pPr>
        <w:spacing w:after="140" w:before="0" w:line="276"/>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Optimal Power Outage Scheduling of Generators in NPC-Agus 6&amp;7 HydroPower Plants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tcW w:type="dxa" w:w="19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Designation</w:t>
            </w:r>
          </w:p>
        </w:tc>
        <w:tc>
          <w:tcPr>
            <w:tcW w:type="dxa" w:w="36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Name</w:t>
            </w:r>
          </w:p>
        </w:tc>
        <w:tc>
          <w:tcPr>
            <w:tcW w:type="dxa" w:w="18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College</w:t>
            </w:r>
          </w:p>
        </w:tc>
        <w:tc>
          <w:tcPr>
            <w:tcW w:type="dxa" w:w="18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RELE (units)</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Leader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Marven E. Jabian, PhD</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6</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Randy Caga-anan, PhD</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CSM</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Rovick P. Tarife, D.Eng</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Karl Martin A. Aldueso, MSEE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Jeryl M. Wayco, MSEE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bl>
    <w:p>
      <w:pPr>
        <w:spacing w:after="100" w:before="0" w:line="276"/>
      </w:pPr>
      <w:r>
        <w:rPr>
          <w:rFonts w:ascii="Times New Roman" w:cs="Times New Roman" w:eastAsia="Times New Roman" w:hAnsi="Times New Roman"/>
          <w:b w:val="false"/>
          <w:bCs w:val="false"/>
          <w:i w:val="false"/>
          <w:iCs w:val="false"/>
          <w:sz w:val="22"/>
          <w:szCs w:val="22"/>
        </w:rPr>
        <w:t xml:space="preserve"/>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3200"/>
            <w:tcMar>
              <w:top w:type="dxa" w:w="60"/>
              <w:left w:type="dxa" w:w="100"/>
              <w:bottom w:type="dxa" w:w="60"/>
              <w:right w:type="dxa" w:w="100"/>
            </w:tcMar>
            <w:vAlign w:val="top"/>
          </w:tcPr>
          <w:p>
            <w:pPr>
              <w:spacing w:after="100" w:before="0" w:line="276"/>
            </w:pPr>
            <w:r>
              <w:rPr>
                <w:rFonts w:ascii="Times New Roman" w:cs="Times New Roman" w:eastAsia="Times New Roman" w:hAnsi="Times New Roman"/>
                <w:b/>
                <w:bCs/>
                <w:i w:val="false"/>
                <w:iCs w:val="false"/>
                <w:sz w:val="21"/>
                <w:szCs w:val="21"/>
              </w:rPr>
              <w:t xml:space="preserve">(2) TYPE OF RESEARCH</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Basic</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Applied</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New</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Continuing</w:t>
            </w:r>
          </w:p>
        </w:tc>
        <w:tc>
          <w:tcPr>
            <w:tcW w:type="dxa" w:w="6880"/>
            <w:tcMar>
              <w:top w:type="dxa" w:w="60"/>
              <w:left w:type="dxa" w:w="100"/>
              <w:bottom w:type="dxa" w:w="60"/>
              <w:right w:type="dxa" w:w="100"/>
            </w:tcMar>
            <w:vAlign w:val="top"/>
          </w:tcPr>
          <w:p>
            <w:pPr>
              <w:spacing w:after="40" w:before="0" w:line="276"/>
            </w:pPr>
            <w:r>
              <w:rPr>
                <w:rFonts w:ascii="Times New Roman" w:cs="Times New Roman" w:eastAsia="Times New Roman" w:hAnsi="Times New Roman"/>
                <w:b/>
                <w:bCs/>
                <w:i w:val="false"/>
                <w:iCs w:val="false"/>
                <w:sz w:val="21"/>
                <w:szCs w:val="21"/>
              </w:rPr>
              <w:t xml:space="preserve">(3) R&amp;D PRIORITY AREA &amp; PROGRAM</w:t>
            </w:r>
          </w:p>
          <w:p>
            <w:pPr>
              <w:spacing w:after="100" w:before="0" w:line="276"/>
            </w:pPr>
            <w:r>
              <w:rPr>
                <w:rFonts w:ascii="Times New Roman" w:cs="Times New Roman" w:eastAsia="Times New Roman" w:hAnsi="Times New Roman"/>
                <w:b w:val="false"/>
                <w:bCs w:val="false"/>
                <w:i/>
                <w:iCs/>
                <w:sz w:val="18"/>
                <w:szCs w:val="18"/>
              </w:rPr>
              <w:t xml:space="preserve">(based on HNRDA 2017-2022)</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Agriculture, Aquatic and Natural Resources — Sector: ____________</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Health — Sector: ____________</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Industry, Energy and Emerging Technology</w:t>
            </w:r>
          </w:p>
          <w:p>
            <w:pPr>
              <w:spacing w:after="60" w:before="0" w:line="276"/>
            </w:pPr>
            <w:r>
              <w:rPr>
                <w:rFonts w:ascii="Times New Roman" w:cs="Times New Roman" w:eastAsia="Times New Roman" w:hAnsi="Times New Roman"/>
                <w:b w:val="false"/>
                <w:bCs w:val="false"/>
                <w:i/>
                <w:iCs/>
                <w:sz w:val="20"/>
                <w:szCs w:val="20"/>
              </w:rPr>
              <w:t xml:space="preserve">     Sector: Energy Efficiency, Conservation, and Smart Grid Technologies</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Disaster Risk Reduction and Climate Change Adaptation — Sector: ____________</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Basic Research — Sector: ____________</w:t>
            </w:r>
          </w:p>
        </w:tc>
      </w:tr>
    </w:tbl>
    <w:p>
      <w:pPr>
        <w:spacing w:after="100" w:before="0" w:line="276"/>
      </w:pPr>
      <w:r>
        <w:rPr>
          <w:rFonts w:ascii="Times New Roman" w:cs="Times New Roman" w:eastAsia="Times New Roman" w:hAnsi="Times New Roman"/>
          <w:b w:val="false"/>
          <w:bCs w:val="false"/>
          <w:i w:val="false"/>
          <w:iCs w:val="false"/>
          <w:sz w:val="22"/>
          <w:szCs w:val="22"/>
        </w:rPr>
        <w:t xml:space="preserve"/>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5040"/>
            <w:shd w:fill="F2F2F2"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19"/>
                <w:szCs w:val="19"/>
              </w:rPr>
              <w:t xml:space="preserve">R&amp;D Priority Area &amp; Program (based on MSU-IIT Integrative R&amp;D Research Clusters)</w:t>
            </w:r>
          </w:p>
        </w:tc>
        <w:tc>
          <w:tcPr>
            <w:tcW w:type="dxa" w:w="5040"/>
            <w:shd w:fill="F2F2F2"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19"/>
                <w:szCs w:val="19"/>
              </w:rPr>
              <w:t xml:space="preserve">R&amp;D Priority Area &amp; Program (based on UNDP 17 SDGs)</w:t>
            </w:r>
          </w:p>
        </w:tc>
      </w:tr>
      <w:tr>
        <w:tc>
          <w:tcPr>
            <w:tcW w:type="dxa" w:w="5040"/>
            <w:tcMar>
              <w:top w:type="dxa" w:w="60"/>
              <w:left w:type="dxa" w:w="100"/>
              <w:bottom w:type="dxa" w:w="60"/>
              <w:right w:type="dxa" w:w="100"/>
            </w:tcMar>
            <w:vAlign w:val="top"/>
          </w:tcPr>
          <w:p>
            <w:pPr>
              <w:spacing w:after="30" w:before="0" w:line="276"/>
            </w:pPr>
            <w:r>
              <w:rPr>
                <w:rFonts w:ascii="Times New Roman" w:cs="Times New Roman" w:eastAsia="Times New Roman" w:hAnsi="Times New Roman"/>
                <w:b w:val="false"/>
                <w:bCs w:val="false"/>
                <w:i w:val="false"/>
                <w:iCs w:val="false"/>
                <w:sz w:val="19"/>
                <w:szCs w:val="19"/>
              </w:rPr>
              <w:t xml:space="preserve">☐ 1. Culture, Technology, and Society</w:t>
            </w:r>
          </w:p>
          <w:p>
            <w:pPr>
              <w:spacing w:after="30" w:before="0" w:line="276"/>
            </w:pPr>
            <w:r>
              <w:rPr>
                <w:rFonts w:ascii="Times New Roman" w:cs="Times New Roman" w:eastAsia="Times New Roman" w:hAnsi="Times New Roman"/>
                <w:b w:val="false"/>
                <w:bCs w:val="false"/>
                <w:i w:val="false"/>
                <w:iCs w:val="false"/>
                <w:sz w:val="19"/>
                <w:szCs w:val="19"/>
              </w:rPr>
              <w:t xml:space="preserve">☐ 2. Peace and Governance</w:t>
            </w:r>
          </w:p>
          <w:p>
            <w:pPr>
              <w:spacing w:after="30" w:before="0" w:line="276"/>
            </w:pPr>
            <w:r>
              <w:rPr>
                <w:rFonts w:ascii="Times New Roman" w:cs="Times New Roman" w:eastAsia="Times New Roman" w:hAnsi="Times New Roman"/>
                <w:b w:val="false"/>
                <w:bCs w:val="false"/>
                <w:i w:val="false"/>
                <w:iCs w:val="false"/>
                <w:sz w:val="19"/>
                <w:szCs w:val="19"/>
              </w:rPr>
              <w:t xml:space="preserve">☐ 3. Integrative Resiliency and Sustainable Solutions</w:t>
            </w:r>
          </w:p>
          <w:p>
            <w:pPr>
              <w:spacing w:after="30" w:before="0" w:line="276"/>
            </w:pPr>
            <w:r>
              <w:rPr>
                <w:rFonts w:ascii="Times New Roman" w:cs="Times New Roman" w:eastAsia="Times New Roman" w:hAnsi="Times New Roman"/>
                <w:b w:val="false"/>
                <w:bCs w:val="false"/>
                <w:i w:val="false"/>
                <w:iCs w:val="false"/>
                <w:sz w:val="19"/>
                <w:szCs w:val="19"/>
              </w:rPr>
              <w:t xml:space="preserve">☒ 4. Disruptive Innovation and Smart Nation</w:t>
            </w:r>
          </w:p>
          <w:p>
            <w:pPr>
              <w:spacing w:after="30" w:before="0" w:line="276"/>
            </w:pPr>
            <w:r>
              <w:rPr>
                <w:rFonts w:ascii="Times New Roman" w:cs="Times New Roman" w:eastAsia="Times New Roman" w:hAnsi="Times New Roman"/>
                <w:b w:val="false"/>
                <w:bCs w:val="false"/>
                <w:i w:val="false"/>
                <w:iCs w:val="false"/>
                <w:sz w:val="19"/>
                <w:szCs w:val="19"/>
              </w:rPr>
              <w:t xml:space="preserve">☒ 5. Applied and Theoretical Science</w:t>
            </w:r>
          </w:p>
          <w:p>
            <w:pPr>
              <w:spacing w:after="30" w:before="0" w:line="276"/>
            </w:pPr>
            <w:r>
              <w:rPr>
                <w:rFonts w:ascii="Times New Roman" w:cs="Times New Roman" w:eastAsia="Times New Roman" w:hAnsi="Times New Roman"/>
                <w:b w:val="false"/>
                <w:bCs w:val="false"/>
                <w:i w:val="false"/>
                <w:iCs w:val="false"/>
                <w:sz w:val="19"/>
                <w:szCs w:val="19"/>
              </w:rPr>
              <w:t xml:space="preserve">☐ 6. Teaching and Learning</w:t>
            </w:r>
          </w:p>
          <w:p>
            <w:pPr>
              <w:spacing w:after="30" w:before="0" w:line="276"/>
            </w:pPr>
            <w:r>
              <w:rPr>
                <w:rFonts w:ascii="Times New Roman" w:cs="Times New Roman" w:eastAsia="Times New Roman" w:hAnsi="Times New Roman"/>
                <w:b w:val="false"/>
                <w:bCs w:val="false"/>
                <w:i w:val="false"/>
                <w:iCs w:val="false"/>
                <w:sz w:val="19"/>
                <w:szCs w:val="19"/>
              </w:rPr>
              <w:t xml:space="preserve">☐ 7. Natural Products and Biotechnology</w:t>
            </w:r>
          </w:p>
          <w:p>
            <w:pPr>
              <w:spacing w:after="30" w:before="0" w:line="276"/>
            </w:pPr>
            <w:r>
              <w:rPr>
                <w:rFonts w:ascii="Times New Roman" w:cs="Times New Roman" w:eastAsia="Times New Roman" w:hAnsi="Times New Roman"/>
                <w:b w:val="false"/>
                <w:bCs w:val="false"/>
                <w:i w:val="false"/>
                <w:iCs w:val="false"/>
                <w:sz w:val="19"/>
                <w:szCs w:val="19"/>
              </w:rPr>
              <w:t xml:space="preserve">☐ 8. Financial and Risk Management</w:t>
            </w:r>
          </w:p>
          <w:p>
            <w:pPr>
              <w:spacing w:after="30" w:before="0" w:line="276"/>
            </w:pPr>
            <w:r>
              <w:rPr>
                <w:rFonts w:ascii="Times New Roman" w:cs="Times New Roman" w:eastAsia="Times New Roman" w:hAnsi="Times New Roman"/>
                <w:b w:val="false"/>
                <w:bCs w:val="false"/>
                <w:i w:val="false"/>
                <w:iCs w:val="false"/>
                <w:sz w:val="19"/>
                <w:szCs w:val="19"/>
              </w:rPr>
              <w:t xml:space="preserve">☐ 9. Materials Science</w:t>
            </w:r>
          </w:p>
        </w:tc>
        <w:tc>
          <w:tcPr>
            <w:tcW w:type="dxa" w:w="5040"/>
            <w:tcMar>
              <w:top w:type="dxa" w:w="60"/>
              <w:left w:type="dxa" w:w="100"/>
              <w:bottom w:type="dxa" w:w="60"/>
              <w:right w:type="dxa" w:w="100"/>
            </w:tcMar>
            <w:vAlign w:val="top"/>
          </w:tcPr>
          <w:p>
            <w:pPr>
              <w:spacing w:after="30" w:before="0" w:line="276"/>
            </w:pPr>
            <w:r>
              <w:rPr>
                <w:rFonts w:ascii="Times New Roman" w:cs="Times New Roman" w:eastAsia="Times New Roman" w:hAnsi="Times New Roman"/>
                <w:b w:val="false"/>
                <w:bCs w:val="false"/>
                <w:i w:val="false"/>
                <w:iCs w:val="false"/>
                <w:sz w:val="19"/>
                <w:szCs w:val="19"/>
              </w:rPr>
              <w:t xml:space="preserve">☐ 1. No Poverty</w:t>
            </w:r>
          </w:p>
          <w:p>
            <w:pPr>
              <w:spacing w:after="30" w:before="0" w:line="276"/>
            </w:pPr>
            <w:r>
              <w:rPr>
                <w:rFonts w:ascii="Times New Roman" w:cs="Times New Roman" w:eastAsia="Times New Roman" w:hAnsi="Times New Roman"/>
                <w:b w:val="false"/>
                <w:bCs w:val="false"/>
                <w:i w:val="false"/>
                <w:iCs w:val="false"/>
                <w:sz w:val="19"/>
                <w:szCs w:val="19"/>
              </w:rPr>
              <w:t xml:space="preserve">☐ 2. Zero Hunger</w:t>
            </w:r>
          </w:p>
          <w:p>
            <w:pPr>
              <w:spacing w:after="30" w:before="0" w:line="276"/>
            </w:pPr>
            <w:r>
              <w:rPr>
                <w:rFonts w:ascii="Times New Roman" w:cs="Times New Roman" w:eastAsia="Times New Roman" w:hAnsi="Times New Roman"/>
                <w:b w:val="false"/>
                <w:bCs w:val="false"/>
                <w:i w:val="false"/>
                <w:iCs w:val="false"/>
                <w:sz w:val="19"/>
                <w:szCs w:val="19"/>
              </w:rPr>
              <w:t xml:space="preserve">☐ 3. Good Health &amp; Well-Being</w:t>
            </w:r>
          </w:p>
          <w:p>
            <w:pPr>
              <w:spacing w:after="30" w:before="0" w:line="276"/>
            </w:pPr>
            <w:r>
              <w:rPr>
                <w:rFonts w:ascii="Times New Roman" w:cs="Times New Roman" w:eastAsia="Times New Roman" w:hAnsi="Times New Roman"/>
                <w:b w:val="false"/>
                <w:bCs w:val="false"/>
                <w:i w:val="false"/>
                <w:iCs w:val="false"/>
                <w:sz w:val="19"/>
                <w:szCs w:val="19"/>
              </w:rPr>
              <w:t xml:space="preserve">☐ 4. Quality Education</w:t>
            </w:r>
          </w:p>
          <w:p>
            <w:pPr>
              <w:spacing w:after="30" w:before="0" w:line="276"/>
            </w:pPr>
            <w:r>
              <w:rPr>
                <w:rFonts w:ascii="Times New Roman" w:cs="Times New Roman" w:eastAsia="Times New Roman" w:hAnsi="Times New Roman"/>
                <w:b w:val="false"/>
                <w:bCs w:val="false"/>
                <w:i w:val="false"/>
                <w:iCs w:val="false"/>
                <w:sz w:val="19"/>
                <w:szCs w:val="19"/>
              </w:rPr>
              <w:t xml:space="preserve">☐ 5. Gender Equality</w:t>
            </w:r>
          </w:p>
          <w:p>
            <w:pPr>
              <w:spacing w:after="30" w:before="0" w:line="276"/>
            </w:pPr>
            <w:r>
              <w:rPr>
                <w:rFonts w:ascii="Times New Roman" w:cs="Times New Roman" w:eastAsia="Times New Roman" w:hAnsi="Times New Roman"/>
                <w:b w:val="false"/>
                <w:bCs w:val="false"/>
                <w:i w:val="false"/>
                <w:iCs w:val="false"/>
                <w:sz w:val="19"/>
                <w:szCs w:val="19"/>
              </w:rPr>
              <w:t xml:space="preserve">☐ 6. Clean Water &amp; Sanitation</w:t>
            </w:r>
          </w:p>
          <w:p>
            <w:pPr>
              <w:spacing w:after="30" w:before="0" w:line="276"/>
            </w:pPr>
            <w:r>
              <w:rPr>
                <w:rFonts w:ascii="Times New Roman" w:cs="Times New Roman" w:eastAsia="Times New Roman" w:hAnsi="Times New Roman"/>
                <w:b w:val="false"/>
                <w:bCs w:val="false"/>
                <w:i w:val="false"/>
                <w:iCs w:val="false"/>
                <w:sz w:val="19"/>
                <w:szCs w:val="19"/>
              </w:rPr>
              <w:t xml:space="preserve">☒ 7. Affordable &amp; Clean Energy</w:t>
            </w:r>
          </w:p>
          <w:p>
            <w:pPr>
              <w:spacing w:after="30" w:before="0" w:line="276"/>
            </w:pPr>
            <w:r>
              <w:rPr>
                <w:rFonts w:ascii="Times New Roman" w:cs="Times New Roman" w:eastAsia="Times New Roman" w:hAnsi="Times New Roman"/>
                <w:b w:val="false"/>
                <w:bCs w:val="false"/>
                <w:i w:val="false"/>
                <w:iCs w:val="false"/>
                <w:sz w:val="19"/>
                <w:szCs w:val="19"/>
              </w:rPr>
              <w:t xml:space="preserve">☐ 8. Decent Work &amp; Economic Growth</w:t>
            </w:r>
          </w:p>
          <w:p>
            <w:pPr>
              <w:spacing w:after="30" w:before="0" w:line="276"/>
            </w:pPr>
            <w:r>
              <w:rPr>
                <w:rFonts w:ascii="Times New Roman" w:cs="Times New Roman" w:eastAsia="Times New Roman" w:hAnsi="Times New Roman"/>
                <w:b w:val="false"/>
                <w:bCs w:val="false"/>
                <w:i w:val="false"/>
                <w:iCs w:val="false"/>
                <w:sz w:val="19"/>
                <w:szCs w:val="19"/>
              </w:rPr>
              <w:t xml:space="preserve">☒ 9. Industry, Innovation &amp; Infrastructure</w:t>
            </w:r>
          </w:p>
          <w:p>
            <w:pPr>
              <w:spacing w:after="30" w:before="0" w:line="276"/>
            </w:pPr>
            <w:r>
              <w:rPr>
                <w:rFonts w:ascii="Times New Roman" w:cs="Times New Roman" w:eastAsia="Times New Roman" w:hAnsi="Times New Roman"/>
                <w:b w:val="false"/>
                <w:bCs w:val="false"/>
                <w:i w:val="false"/>
                <w:iCs w:val="false"/>
                <w:sz w:val="19"/>
                <w:szCs w:val="19"/>
              </w:rPr>
              <w:t xml:space="preserve">☐ 10. Reduced Inequalities</w:t>
            </w:r>
          </w:p>
          <w:p>
            <w:pPr>
              <w:spacing w:after="30" w:before="0" w:line="276"/>
            </w:pPr>
            <w:r>
              <w:rPr>
                <w:rFonts w:ascii="Times New Roman" w:cs="Times New Roman" w:eastAsia="Times New Roman" w:hAnsi="Times New Roman"/>
                <w:b w:val="false"/>
                <w:bCs w:val="false"/>
                <w:i w:val="false"/>
                <w:iCs w:val="false"/>
                <w:sz w:val="19"/>
                <w:szCs w:val="19"/>
              </w:rPr>
              <w:t xml:space="preserve">☐ 11. Sustainable Cities &amp; Communities</w:t>
            </w:r>
          </w:p>
          <w:p>
            <w:pPr>
              <w:spacing w:after="30" w:before="0" w:line="276"/>
            </w:pPr>
            <w:r>
              <w:rPr>
                <w:rFonts w:ascii="Times New Roman" w:cs="Times New Roman" w:eastAsia="Times New Roman" w:hAnsi="Times New Roman"/>
                <w:b w:val="false"/>
                <w:bCs w:val="false"/>
                <w:i w:val="false"/>
                <w:iCs w:val="false"/>
                <w:sz w:val="19"/>
                <w:szCs w:val="19"/>
              </w:rPr>
              <w:t xml:space="preserve">☐ 12. Responsible Consumption &amp; Production</w:t>
            </w:r>
          </w:p>
          <w:p>
            <w:pPr>
              <w:spacing w:after="30" w:before="0" w:line="276"/>
            </w:pPr>
            <w:r>
              <w:rPr>
                <w:rFonts w:ascii="Times New Roman" w:cs="Times New Roman" w:eastAsia="Times New Roman" w:hAnsi="Times New Roman"/>
                <w:b w:val="false"/>
                <w:bCs w:val="false"/>
                <w:i w:val="false"/>
                <w:iCs w:val="false"/>
                <w:sz w:val="19"/>
                <w:szCs w:val="19"/>
              </w:rPr>
              <w:t xml:space="preserve">☐ 13. Climate Action</w:t>
            </w:r>
          </w:p>
          <w:p>
            <w:pPr>
              <w:spacing w:after="30" w:before="0" w:line="276"/>
            </w:pPr>
            <w:r>
              <w:rPr>
                <w:rFonts w:ascii="Times New Roman" w:cs="Times New Roman" w:eastAsia="Times New Roman" w:hAnsi="Times New Roman"/>
                <w:b w:val="false"/>
                <w:bCs w:val="false"/>
                <w:i w:val="false"/>
                <w:iCs w:val="false"/>
                <w:sz w:val="19"/>
                <w:szCs w:val="19"/>
              </w:rPr>
              <w:t xml:space="preserve">☐ 14. Life Below Water</w:t>
            </w:r>
          </w:p>
          <w:p>
            <w:pPr>
              <w:spacing w:after="30" w:before="0" w:line="276"/>
            </w:pPr>
            <w:r>
              <w:rPr>
                <w:rFonts w:ascii="Times New Roman" w:cs="Times New Roman" w:eastAsia="Times New Roman" w:hAnsi="Times New Roman"/>
                <w:b w:val="false"/>
                <w:bCs w:val="false"/>
                <w:i w:val="false"/>
                <w:iCs w:val="false"/>
                <w:sz w:val="19"/>
                <w:szCs w:val="19"/>
              </w:rPr>
              <w:t xml:space="preserve">☐ 15. Life on Land</w:t>
            </w:r>
          </w:p>
          <w:p>
            <w:pPr>
              <w:spacing w:after="30" w:before="0" w:line="276"/>
            </w:pPr>
            <w:r>
              <w:rPr>
                <w:rFonts w:ascii="Times New Roman" w:cs="Times New Roman" w:eastAsia="Times New Roman" w:hAnsi="Times New Roman"/>
                <w:b w:val="false"/>
                <w:bCs w:val="false"/>
                <w:i w:val="false"/>
                <w:iCs w:val="false"/>
                <w:sz w:val="19"/>
                <w:szCs w:val="19"/>
              </w:rPr>
              <w:t xml:space="preserve">☐ 16. Peace, Justice &amp; Strong Institutions</w:t>
            </w:r>
          </w:p>
          <w:p>
            <w:pPr>
              <w:spacing w:after="30" w:before="0" w:line="276"/>
            </w:pPr>
            <w:r>
              <w:rPr>
                <w:rFonts w:ascii="Times New Roman" w:cs="Times New Roman" w:eastAsia="Times New Roman" w:hAnsi="Times New Roman"/>
                <w:b w:val="false"/>
                <w:bCs w:val="false"/>
                <w:i w:val="false"/>
                <w:iCs w:val="false"/>
                <w:sz w:val="19"/>
                <w:szCs w:val="19"/>
              </w:rPr>
              <w:t xml:space="preserve">☐ 17. Partnership for the Goals</w:t>
            </w:r>
          </w:p>
        </w:tc>
      </w:tr>
    </w:tbl>
    <w:p>
      <w:pPr>
        <w:spacing w:after="100" w:before="0" w:line="276"/>
      </w:pPr>
      <w:r>
        <w:rPr>
          <w:rFonts w:ascii="Times New Roman" w:cs="Times New Roman" w:eastAsia="Times New Roman" w:hAnsi="Times New Roman"/>
          <w:b w:val="false"/>
          <w:bCs w:val="false"/>
          <w:i w:val="false"/>
          <w:iCs w:val="false"/>
          <w:sz w:val="22"/>
          <w:szCs w:val="22"/>
        </w:rPr>
        <w:t xml:space="preserve"/>
      </w:r>
    </w:p>
    <w:p>
      <w:pPr>
        <w:spacing w:after="140" w:before="280"/>
      </w:pPr>
      <w:r>
        <w:rPr>
          <w:rFonts w:ascii="Times New Roman" w:cs="Times New Roman" w:eastAsia="Times New Roman" w:hAnsi="Times New Roman"/>
          <w:b/>
          <w:bCs/>
          <w:sz w:val="23"/>
          <w:szCs w:val="23"/>
          <w:u w:val="single"/>
        </w:rPr>
        <w:t xml:space="preserve">(4) RATIONALE</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In the modern power sector, ensuring the continuous availability of generation resources is essential for maintaining a reliable electricity supply. Distribution utilities and system operators must carefully balance demand and supply while meeting operational and regulatory standards. However, unforeseen generator downtimes remain a persistent challenge. Such downtimes not only disrupt system stability but also expose power providers to performance issues and possible penalties under the Energy Regulatory Commission (ERC) as stipulated in Resolution No. 10, Series of 2020. This resolution formally adopts the Interim Reliability Performance Indices and Equivalent Outage Days Per Year of Generating Units, setting allowable planned and unplanned outage limits for each generating technology. Exceeding these thresholds can lead to sanctions, disallowance of pass-through costs, and other financial or operational penalties.</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Article I of Resolution No. 10 underscores three critical objectives: (a) establishing reliability performance benchmarks for generating units, (b) promoting accountability of Generation Companies, the System Operator, and the Transmission Network Provider, and (c) monitoring the actual planned and unplanned outage days of generating units. For hydroelectric plants, the resolution specifically sets the allowable outage duration at 29.9 days per year (23.1 days for planned outages and 6.8 days for unplanned outages).</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Despite these standards, the Agus 6 and Agus 7 Hydroelectric Power Plants lack sufficient information on their outage status relative to ERC's prescribed limits, which puts them at risk of regulatory sanctions. Current reporting mechanisms rely heavily on manual records and reactive responses to outages, making it difficult for plant operators to evaluate compliance in real time. This monitoring gap exposes them to the risk of unintentionally surpassing the allowable outage days, potentially leading to penalties, reputational impacts, and reduced grid reliability.</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To address this gap, this project proposes the development of a predictive downtime monitoring and forecasting system that integrates historical outage data with Monte Carlo simulation. The approach enables the modeling of uncertainties in generator performance, simulating multiple possible scenarios to estimate the probability and distribution of future shutdowns. By generating forecasts of possible downtimes and identifying optimum windows for preventive maintenance, the system provides operators with an evidence-based tool to reduce unplanned outages and avoid breaching ERC limits.</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Beyond ensuring compliance, the proposed system enhances the long-term operational efficiency of Agus 6 and Agus 7. These hydroelectric plants are critical to Mindanao's electricity supply, and predicting their downtimes can directly strengthen grid stability. By filling the current monitoring gap with predictive analytics, the project enables proactive maintenance planning, minimizes the risk of unplanned disruptions, and safeguards the dependability of Mindanao's power system. Ultimately, this ensures that the hydro plants not only comply with ERC regulations but also improve their operational resilience and contribution to sustainable energy reliability.</w:t>
      </w:r>
    </w:p>
    <w:p>
      <w:pPr>
        <w:spacing w:after="140" w:before="280"/>
      </w:pPr>
      <w:r>
        <w:rPr>
          <w:rFonts w:ascii="Times New Roman" w:cs="Times New Roman" w:eastAsia="Times New Roman" w:hAnsi="Times New Roman"/>
          <w:b/>
          <w:bCs/>
          <w:sz w:val="23"/>
          <w:szCs w:val="23"/>
          <w:u w:val="single"/>
        </w:rPr>
        <w:t xml:space="preserve">(5) REVIEW OF LITERATURE</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It is widely acknowledged that predicting generator downtime is crucial for ensuring the reliability and efficiency of power systems, particularly in hydroelectric plants. For instance, Oliveira et al. (2021) employed a Monte Carlo simulation to project the availability of the Santo Antônio Hydroelectric Plant in Brazil, showing that stochastic approaches can capture both planned and forced outages. However, the challenge of forecasting downtime is more nuanced, as it must account for uncertainties in failure distributions, repair durations, hydrological variability, and operational constraints. In fact, Alvarez-Alvarado and Jayaweera (2020) emphasized that conventional periodic preventive maintenance often results in suboptimal outcomes, underscoring the need for probabilistic and reliability-centered approaches. This has given rise to several research directions in downtime prediction.</w:t>
      </w:r>
    </w:p>
    <w:p>
      <w:pPr>
        <w:spacing w:after="140" w:before="0" w:line="276"/>
        <w:jc w:val="both"/>
      </w:pPr>
      <w:r>
        <w:rPr>
          <w:rFonts w:ascii="Times New Roman" w:cs="Times New Roman" w:eastAsia="Times New Roman" w:hAnsi="Times New Roman"/>
          <w:b/>
          <w:bCs/>
          <w:sz w:val="22"/>
          <w:szCs w:val="22"/>
        </w:rPr>
        <w:t xml:space="preserve">Availability Forecasting. </w:t>
      </w:r>
      <w:r>
        <w:rPr>
          <w:rFonts w:ascii="Times New Roman" w:cs="Times New Roman" w:eastAsia="Times New Roman" w:hAnsi="Times New Roman"/>
          <w:sz w:val="22"/>
          <w:szCs w:val="22"/>
        </w:rPr>
        <w:t xml:space="preserve">Availability analysis is widely considered a probabilistic task, wherein historical failure and repair data are modeled through statistical distributions to project future performance. Oliveira et al. (2021) integrated stochastic inflows and outage data to produce realistic hydropower availability forecasts. Similarly, Kostaki et al. (2024) developed a Monte Carlo-based method to integrate hydropower plants into resource adequacy studies, affirming the importance of stochastic processes in capturing availability uncertainty. Abdulrahman et al. (2025) further emphasized the importance of reliability evaluation in hydroelectric settings, demonstrating that system reliability indices can inform operational planning.</w:t>
      </w:r>
    </w:p>
    <w:p>
      <w:pPr>
        <w:spacing w:after="140" w:before="0" w:line="276"/>
        <w:jc w:val="both"/>
      </w:pPr>
      <w:r>
        <w:rPr>
          <w:rFonts w:ascii="Times New Roman" w:cs="Times New Roman" w:eastAsia="Times New Roman" w:hAnsi="Times New Roman"/>
          <w:b/>
          <w:bCs/>
          <w:sz w:val="22"/>
          <w:szCs w:val="22"/>
        </w:rPr>
        <w:t xml:space="preserve">Maintenance Scheduling. </w:t>
      </w:r>
      <w:r>
        <w:rPr>
          <w:rFonts w:ascii="Times New Roman" w:cs="Times New Roman" w:eastAsia="Times New Roman" w:hAnsi="Times New Roman"/>
          <w:sz w:val="22"/>
          <w:szCs w:val="22"/>
        </w:rPr>
        <w:t xml:space="preserve">Reliability-centered and smart maintenance frameworks have been extensively applied to minimize downtime while preserving system adequacy. Alvarez-Alvarado and Jayaweera (2020) proposed a smart maintenance model using Markov chains, virtual age modeling, and Monte Carlo simulation to generate optimized preventive maintenance schedules. Duarte et al. (2020) also demonstrated how Monte Carlo can coordinate preventive maintenance for generating units under uncertainty. Meanwhile, Okumusoglu et al. (2022) proposed a stochastic programming framework that integrates predictive maintenance and operational scheduling; however, the computational complexity of scenario generation limits its scalability. Cheikh et al. (2024) emphasized the importance of balancing strategies when selecting maintenance actions, noting that maintenance decisions must weigh the cost and risk associated with diverse asset types.</w:t>
      </w:r>
    </w:p>
    <w:p>
      <w:pPr>
        <w:spacing w:after="140" w:before="0" w:line="276"/>
        <w:jc w:val="both"/>
      </w:pPr>
      <w:r>
        <w:rPr>
          <w:rFonts w:ascii="Times New Roman" w:cs="Times New Roman" w:eastAsia="Times New Roman" w:hAnsi="Times New Roman"/>
          <w:b/>
          <w:bCs/>
          <w:sz w:val="22"/>
          <w:szCs w:val="22"/>
        </w:rPr>
        <w:t xml:space="preserve">System Restoration. </w:t>
      </w:r>
      <w:r>
        <w:rPr>
          <w:rFonts w:ascii="Times New Roman" w:cs="Times New Roman" w:eastAsia="Times New Roman" w:hAnsi="Times New Roman"/>
          <w:sz w:val="22"/>
          <w:szCs w:val="22"/>
        </w:rPr>
        <w:t xml:space="preserve">Broadly, restoration optimization studies focus on generator startup sequences after outages. Xu et al. (2023) applied a Monte Carlo tree search algorithm to determine generator restoration sequences, which were validated on the IEEE 39-bus and Hebei power systems. Their results demonstrated that stochastic simulation can effectively handle large decision spaces when planning post-blackout recovery. While these methods are useful for resilience and post-outage recovery, their focus is different from preventive downtime scheduling.</w:t>
      </w:r>
    </w:p>
    <w:p>
      <w:pPr>
        <w:spacing w:after="140" w:before="0" w:line="276"/>
        <w:jc w:val="both"/>
      </w:pPr>
      <w:r>
        <w:rPr>
          <w:rFonts w:ascii="Times New Roman" w:cs="Times New Roman" w:eastAsia="Times New Roman" w:hAnsi="Times New Roman"/>
          <w:b/>
          <w:bCs/>
          <w:sz w:val="22"/>
          <w:szCs w:val="22"/>
        </w:rPr>
        <w:t xml:space="preserve">Predictive Maintenance. </w:t>
      </w:r>
      <w:r>
        <w:rPr>
          <w:rFonts w:ascii="Times New Roman" w:cs="Times New Roman" w:eastAsia="Times New Roman" w:hAnsi="Times New Roman"/>
          <w:sz w:val="22"/>
          <w:szCs w:val="22"/>
        </w:rPr>
        <w:t xml:space="preserve">Recent works have integrated machine learning and reinforcement learning into maintenance scheduling. Zuo et al. (2025) developed a reinforcement learning-based framework for stochastically deteriorating systems, while Najafi-Shad et al. (2024) evaluated customer outage costs through Monte Carlo to link maintenance decisions with economic impacts. Abud et al. (2023) reviewed Monte Carlo applications in distributed generation, highlighting the synergy between probabilistic modeling and predictive strategies. Firouzi et al. (2022) similarly applied Monte Carlo methods to composite systems with renewable integration, proving that stochastic models can handle the uncertainty of forced outages in mixed generation portfolios.</w:t>
      </w:r>
    </w:p>
    <w:p>
      <w:pPr>
        <w:spacing w:after="140" w:before="0" w:line="276"/>
        <w:jc w:val="both"/>
      </w:pPr>
      <w:r>
        <w:rPr>
          <w:rFonts w:ascii="Times New Roman" w:cs="Times New Roman" w:eastAsia="Times New Roman" w:hAnsi="Times New Roman"/>
          <w:b/>
          <w:bCs/>
          <w:sz w:val="22"/>
          <w:szCs w:val="22"/>
        </w:rPr>
        <w:t xml:space="preserve">Monte Carlo Simulation. </w:t>
      </w:r>
      <w:r>
        <w:rPr>
          <w:rFonts w:ascii="Times New Roman" w:cs="Times New Roman" w:eastAsia="Times New Roman" w:hAnsi="Times New Roman"/>
          <w:sz w:val="22"/>
          <w:szCs w:val="22"/>
        </w:rPr>
        <w:t xml:space="preserve">Monte Carlo simulation has consistently emerged as the most versatile and practical approach to downtime forecasting and reliability analysis. De Oliveira et al. (2021) demonstrated its direct applicability to hydropower plants, while Duarte et al. (2020) showed its role in coordinating preventive maintenance. Xu et al. (2023) applied Monte Carlo tree search to generator restoration, and Alvarez-Alvarado and Jayaweera (2020) integrated it into intelligent maintenance optimization. More recently, Xi et al. (2025) applied Monte Carlo to uncertainty analysis of generation costs, while Pathak et al. (2025) confirmed its adaptability in evaluating the reliability of electrical systems under various scenarios. Salman et al. (2023) also highlighted the importance of modeling power outage causes, which Monte Carlo can incorporate into probabilistic downtime assessments.</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Overall, while alternative methods such as stochastic programming, reliability-centered maintenance, and reinforcement learning provide valuable insights, Monte Carlo simulation remains the most robust and adaptable technique for this purpose. Its ability to incorporate historical outage records, variable repair distributions, and hydrological conditions makes it particularly suited for hydroelectric applications such as the Agus 6 and Agus 7 Hydroelectric Power Plants.</w:t>
      </w:r>
    </w:p>
    <w:p>
      <w:pPr>
        <w:spacing w:after="140" w:before="280"/>
      </w:pPr>
      <w:r>
        <w:rPr>
          <w:rFonts w:ascii="Times New Roman" w:cs="Times New Roman" w:eastAsia="Times New Roman" w:hAnsi="Times New Roman"/>
          <w:b/>
          <w:bCs/>
          <w:sz w:val="23"/>
          <w:szCs w:val="23"/>
          <w:u w:val="single"/>
        </w:rPr>
        <w:t xml:space="preserve">(6) OBJECTIVES</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1. Collect and organize historical generator shutdown records.</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2. Analyze and classify downtime patterns by frequency, duration, and causes.</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3. Develop a statistical model for generator downtime using Monte Carlo simulation.</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4. Apply Monte Carlo simulation to estimate downtime probabilities.</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5. Test and validate the optimized scheduling framework to reduce outages and improve maintenance.</w:t>
      </w:r>
    </w:p>
    <w:p>
      <w:pPr>
        <w:spacing w:after="120" w:before="0" w:line="276"/>
      </w:pPr>
      <w:r>
        <w:rPr>
          <w:rFonts w:ascii="Times New Roman" w:cs="Times New Roman" w:eastAsia="Times New Roman" w:hAnsi="Times New Roman"/>
          <w:b w:val="false"/>
          <w:bCs w:val="false"/>
          <w:i/>
          <w:iCs/>
          <w:sz w:val="18"/>
          <w:szCs w:val="18"/>
        </w:rPr>
        <w:t xml:space="preserve">(Objectives — statements of the general and specific purposes to address the problem areas of the project.)</w:t>
      </w:r>
    </w:p>
    <w:p>
      <w:pPr>
        <w:spacing w:after="140" w:before="280"/>
      </w:pPr>
      <w:r>
        <w:rPr>
          <w:rFonts w:ascii="Times New Roman" w:cs="Times New Roman" w:eastAsia="Times New Roman" w:hAnsi="Times New Roman"/>
          <w:b/>
          <w:bCs/>
          <w:sz w:val="23"/>
          <w:szCs w:val="23"/>
          <w:u w:val="single"/>
        </w:rPr>
        <w:t xml:space="preserve">(7) METHODOLOGY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tcW w:type="dxa" w:w="10080"/>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val="false"/>
                <w:bCs w:val="false"/>
                <w:i/>
                <w:iCs/>
                <w:sz w:val="20"/>
                <w:szCs w:val="20"/>
              </w:rPr>
              <w:t xml:space="preserve">[Figure 1. Overall Methodology Flowchart — to be inserted]</w:t>
            </w:r>
          </w:p>
        </w:tc>
      </w:tr>
    </w:tbl>
    <w:p>
      <w:pPr>
        <w:spacing w:after="100" w:before="0" w:line="276"/>
      </w:pPr>
      <w:r>
        <w:rPr>
          <w:rFonts w:ascii="Times New Roman" w:cs="Times New Roman" w:eastAsia="Times New Roman" w:hAnsi="Times New Roman"/>
          <w:b w:val="false"/>
          <w:bCs w:val="false"/>
          <w:i w:val="false"/>
          <w:iCs w:val="false"/>
          <w:sz w:val="22"/>
          <w:szCs w:val="22"/>
        </w:rPr>
        <w:t xml:space="preserve"/>
      </w:r>
    </w:p>
    <w:p>
      <w:pPr>
        <w:spacing w:after="140" w:before="0" w:line="276"/>
        <w:jc w:val="both"/>
      </w:pPr>
      <w:r>
        <w:rPr>
          <w:rFonts w:ascii="Times New Roman" w:cs="Times New Roman" w:eastAsia="Times New Roman" w:hAnsi="Times New Roman"/>
          <w:b w:val="false"/>
          <w:bCs w:val="false"/>
          <w:i w:val="false"/>
          <w:iCs w:val="false"/>
          <w:sz w:val="22"/>
          <w:szCs w:val="22"/>
        </w:rPr>
        <w:t xml:space="preserve">The outline below is a systematic approach to developing a predictive system for generator downtime using historical data and Monte Carlo simulation. It involves data acquisition, pattern analysis, statistical modeling, stochastic simulation, optimization of downtime schedules, and validation. The process ensures a structured framework for improving maintenance planning and reliability of the Agus 6 and Agus 7 Hydroelectric Power Plants. The overall flow of the proposed methodology is illustrated in Figure 1.</w:t>
      </w:r>
    </w:p>
    <w:p>
      <w:pPr>
        <w:spacing w:after="60" w:before="0" w:line="276"/>
      </w:pPr>
      <w:r>
        <w:rPr>
          <w:rFonts w:ascii="Times New Roman" w:cs="Times New Roman" w:eastAsia="Times New Roman" w:hAnsi="Times New Roman"/>
          <w:b/>
          <w:bCs/>
          <w:i w:val="false"/>
          <w:iCs w:val="false"/>
          <w:sz w:val="22"/>
          <w:szCs w:val="22"/>
        </w:rPr>
        <w:t xml:space="preserve">1. Data Collection and Preparation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Gather historical records of generator shutdowns (planned and unplanned).</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Organize and prepare the data for analysis.</w:t>
      </w:r>
    </w:p>
    <w:p>
      <w:pPr>
        <w:spacing w:after="60" w:before="0" w:line="276"/>
      </w:pPr>
      <w:r>
        <w:rPr>
          <w:rFonts w:ascii="Times New Roman" w:cs="Times New Roman" w:eastAsia="Times New Roman" w:hAnsi="Times New Roman"/>
          <w:b/>
          <w:bCs/>
          <w:i w:val="false"/>
          <w:iCs w:val="false"/>
          <w:sz w:val="22"/>
          <w:szCs w:val="22"/>
        </w:rPr>
        <w:t xml:space="preserve">2. Pattern Analysis and Classification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Examine downtime trends based on frequency and duration.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Classify shutdowns according to type and possible causes.</w:t>
      </w:r>
    </w:p>
    <w:p>
      <w:pPr>
        <w:spacing w:after="60" w:before="0" w:line="276"/>
      </w:pPr>
      <w:r>
        <w:rPr>
          <w:rFonts w:ascii="Times New Roman" w:cs="Times New Roman" w:eastAsia="Times New Roman" w:hAnsi="Times New Roman"/>
          <w:b/>
          <w:bCs/>
          <w:i w:val="false"/>
          <w:iCs w:val="false"/>
          <w:sz w:val="22"/>
          <w:szCs w:val="22"/>
        </w:rPr>
        <w:t xml:space="preserve">3. Statistical Modeling</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Develop a general model of generator downtime using the organized data.</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Use this model as input for the simulation process.</w:t>
      </w:r>
    </w:p>
    <w:p>
      <w:pPr>
        <w:spacing w:after="60" w:before="0" w:line="276"/>
      </w:pPr>
      <w:r>
        <w:rPr>
          <w:rFonts w:ascii="Times New Roman" w:cs="Times New Roman" w:eastAsia="Times New Roman" w:hAnsi="Times New Roman"/>
          <w:b/>
          <w:bCs/>
          <w:i w:val="false"/>
          <w:iCs w:val="false"/>
          <w:sz w:val="22"/>
          <w:szCs w:val="22"/>
        </w:rPr>
        <w:t xml:space="preserve">4. Monte Carlo Simulation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Apply Monte Carlo simulation to generate possible downtime scenarios.</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Estimate probability distributions and occurrence patterns of shutdowns.</w:t>
      </w:r>
    </w:p>
    <w:p>
      <w:pPr>
        <w:spacing w:after="60" w:before="0" w:line="276"/>
      </w:pPr>
      <w:r>
        <w:rPr>
          <w:rFonts w:ascii="Times New Roman" w:cs="Times New Roman" w:eastAsia="Times New Roman" w:hAnsi="Times New Roman"/>
          <w:b/>
          <w:bCs/>
          <w:i w:val="false"/>
          <w:iCs w:val="false"/>
          <w:sz w:val="22"/>
          <w:szCs w:val="22"/>
        </w:rPr>
        <w:t xml:space="preserve">5. Downtime Scheduling Framework</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Test a scheduling framework designed to balance planned maintenance and minimize unplanned outages.</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Use simulation results to guide decision-making.</w:t>
      </w:r>
    </w:p>
    <w:p>
      <w:pPr>
        <w:spacing w:after="60" w:before="0" w:line="276"/>
      </w:pPr>
      <w:r>
        <w:rPr>
          <w:rFonts w:ascii="Times New Roman" w:cs="Times New Roman" w:eastAsia="Times New Roman" w:hAnsi="Times New Roman"/>
          <w:b/>
          <w:bCs/>
          <w:i w:val="false"/>
          <w:iCs w:val="false"/>
          <w:sz w:val="22"/>
          <w:szCs w:val="22"/>
        </w:rPr>
        <w:t xml:space="preserve">6. Validation and Reporting</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Validate the framework by comparing results with historical outcomes.</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Prepare a summary report with findings and recommendations.</w:t>
      </w:r>
    </w:p>
    <w:p>
      <w:pPr>
        <w:spacing w:after="140" w:before="100" w:line="276"/>
        <w:jc w:val="both"/>
      </w:pPr>
      <w:r>
        <w:rPr>
          <w:rFonts w:ascii="Times New Roman" w:cs="Times New Roman" w:eastAsia="Times New Roman" w:hAnsi="Times New Roman"/>
          <w:b w:val="false"/>
          <w:bCs w:val="false"/>
          <w:i w:val="false"/>
          <w:iCs w:val="false"/>
          <w:sz w:val="22"/>
          <w:szCs w:val="22"/>
        </w:rPr>
        <w:t xml:space="preserve">Overall, this process provides a systematic framework for using historical data and Monte Carlo simulation to determine optimum generator downtime schedules. The methodology ensures accurate downtime predictions, improved preventive maintenance planning, and enhanced operational reliability for Agus 6 and Agus 7 Hydro Plants.</w:t>
      </w:r>
    </w:p>
    <w:p>
      <w:pPr>
        <w:spacing w:after="140" w:before="280"/>
      </w:pPr>
      <w:r>
        <w:rPr>
          <w:rFonts w:ascii="Times New Roman" w:cs="Times New Roman" w:eastAsia="Times New Roman" w:hAnsi="Times New Roman"/>
          <w:b/>
          <w:bCs/>
          <w:sz w:val="23"/>
          <w:szCs w:val="23"/>
          <w:u w:val="single"/>
        </w:rPr>
        <w:t xml:space="preserve">(8) ETHICAL/BIOSAFETY CLEARANCE</w:t>
      </w:r>
    </w:p>
    <w:p>
      <w:pPr>
        <w:spacing w:after="140" w:before="0" w:line="276"/>
      </w:pPr>
      <w:r>
        <w:rPr>
          <w:rFonts w:ascii="Times New Roman" w:cs="Times New Roman" w:eastAsia="Times New Roman" w:hAnsi="Times New Roman"/>
          <w:b w:val="false"/>
          <w:bCs w:val="false"/>
          <w:i w:val="false"/>
          <w:iCs w:val="false"/>
          <w:sz w:val="22"/>
          <w:szCs w:val="22"/>
        </w:rPr>
        <w:t xml:space="preserve">N/A</w:t>
      </w:r>
    </w:p>
    <w:p>
      <w:pPr>
        <w:spacing w:after="140" w:before="280"/>
      </w:pPr>
      <w:r>
        <w:rPr>
          <w:rFonts w:ascii="Times New Roman" w:cs="Times New Roman" w:eastAsia="Times New Roman" w:hAnsi="Times New Roman"/>
          <w:b/>
          <w:bCs/>
          <w:sz w:val="23"/>
          <w:szCs w:val="23"/>
          <w:u w:val="single"/>
        </w:rPr>
        <w:t xml:space="preserve">(9) TARGET ACCOMPLISHMENTS AND EXPECTED OUTPUTS</w:t>
      </w:r>
    </w:p>
    <w:tbl>
      <w:tblPr>
        <w:tblW w:type="dxa" w:w="6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42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Expected Output</w:t>
            </w:r>
          </w:p>
        </w:tc>
        <w:tc>
          <w:tcPr>
            <w:tcW w:type="dxa" w:w="1800"/>
            <w:shd w:fill="D9E2F3" w:val="clear"/>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bCs/>
                <w:i w:val="false"/>
                <w:iCs w:val="false"/>
                <w:sz w:val="20"/>
                <w:szCs w:val="20"/>
              </w:rPr>
              <w:t xml:space="preserve">Target</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Publications</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1</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Patent/Intellectual Property Application</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0</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Product</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0</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Places and Partnerships</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1</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Policy</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1</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People Services</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0</w:t>
            </w:r>
          </w:p>
        </w:tc>
      </w:tr>
    </w:tbl>
    <w:p>
      <w:pPr>
        <w:spacing w:after="140" w:before="0" w:line="276"/>
      </w:pPr>
      <w:r>
        <w:rPr>
          <w:rFonts w:ascii="Times New Roman" w:cs="Times New Roman" w:eastAsia="Times New Roman" w:hAnsi="Times New Roman"/>
          <w:b w:val="false"/>
          <w:bCs w:val="false"/>
          <w:i w:val="false"/>
          <w:iCs w:val="false"/>
          <w:sz w:val="22"/>
          <w:szCs w:val="22"/>
        </w:rPr>
        <w:t xml:space="preserve"/>
      </w:r>
    </w:p>
    <w:p>
      <w:pPr>
        <w:spacing w:after="140" w:before="280"/>
      </w:pPr>
      <w:r>
        <w:rPr>
          <w:rFonts w:ascii="Times New Roman" w:cs="Times New Roman" w:eastAsia="Times New Roman" w:hAnsi="Times New Roman"/>
          <w:b/>
          <w:bCs/>
          <w:sz w:val="23"/>
          <w:szCs w:val="23"/>
          <w:u w:val="single"/>
        </w:rPr>
        <w:t xml:space="preserve">(10) TARGET BENEFICIARIES</w:t>
      </w:r>
    </w:p>
    <w:p>
      <w:pPr>
        <w:spacing w:after="60" w:before="0" w:line="276"/>
      </w:pPr>
      <w:r>
        <w:rPr>
          <w:rFonts w:ascii="Times New Roman" w:cs="Times New Roman" w:eastAsia="Times New Roman" w:hAnsi="Times New Roman"/>
          <w:b w:val="false"/>
          <w:bCs w:val="false"/>
          <w:i w:val="false"/>
          <w:iCs w:val="false"/>
          <w:sz w:val="22"/>
          <w:szCs w:val="22"/>
        </w:rPr>
        <w:t xml:space="preserve">1. National Power Corporation</w:t>
      </w:r>
    </w:p>
    <w:p>
      <w:pPr>
        <w:spacing w:after="140" w:before="0" w:line="276"/>
      </w:pPr>
      <w:r>
        <w:rPr>
          <w:rFonts w:ascii="Times New Roman" w:cs="Times New Roman" w:eastAsia="Times New Roman" w:hAnsi="Times New Roman"/>
          <w:b w:val="false"/>
          <w:bCs w:val="false"/>
          <w:i w:val="false"/>
          <w:iCs w:val="false"/>
          <w:sz w:val="22"/>
          <w:szCs w:val="22"/>
        </w:rPr>
        <w:t xml:space="preserve">2. Agus-Pulangi HydroPower Plants</w:t>
      </w:r>
    </w:p>
    <w:p>
      <w:pPr>
        <w:spacing w:after="140" w:before="280"/>
      </w:pPr>
      <w:r>
        <w:rPr>
          <w:rFonts w:ascii="Times New Roman" w:cs="Times New Roman" w:eastAsia="Times New Roman" w:hAnsi="Times New Roman"/>
          <w:b/>
          <w:bCs/>
          <w:sz w:val="23"/>
          <w:szCs w:val="23"/>
          <w:u w:val="single"/>
        </w:rPr>
        <w:t xml:space="preserve">(11) LIMITATIONS OF THE PROJECT</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A primary limitation of this research is the reliance on historical data from Agus 6 and Agus 7 hydroelectric plants, which may not fully capture all operating conditions or rare failure events. Since prediction models depend heavily on the quality and completeness of available records, any gaps, inconsistencies, or missing data could affect the accuracy of the results. This means that while the model may identify common patterns of downtime, it may be less reliable in forecasting unusual or extreme events. Another limitation is the scope of variables considered. Due to data availability, the study primarily focuses on operational logs and maintenance records, while other influential factors such as weather variations, hydrological conditions, and external grid disturbances are not fully integrated. This narrower set of inputs may limit the model's ability to account for complex, multi-factor causes of generator downtime.</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Lastly, the study is limited to Agus 6 and Agus 7, which constrains the generalizability of the findings. While the approach may provide valuable insights for these hydro plants, its direct application to other types of generation units, such as coal or gas-fired plants, would require additional validation and adaptation. This limitation highlights the need for future studies to expand the dataset across different generating technologies and locations to strengthen the broader applicability of the predictive model.</w:t>
      </w:r>
    </w:p>
    <w:p>
      <w:pPr>
        <w:spacing w:after="140" w:before="280"/>
      </w:pPr>
      <w:r>
        <w:rPr>
          <w:rFonts w:ascii="Times New Roman" w:cs="Times New Roman" w:eastAsia="Times New Roman" w:hAnsi="Times New Roman"/>
          <w:b/>
          <w:bCs/>
          <w:sz w:val="23"/>
          <w:szCs w:val="23"/>
          <w:u w:val="single"/>
        </w:rPr>
        <w:t xml:space="preserve">(12) LITERATURE CITED</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Abdulrahman, H., Amoo, A., Sadiq, A., A., I., &amp; Danladi, M. (2024). System Reliability Evaluation of Dadin Kowa Hydro Power Plant. International Journal of Research Publication and Reviews, 5, 199-215. https://doi.org/10.55248/gengpi.5.0224.0405</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Abud, T. P., Augusto, A. A., Fortes, M. Z., Maciel, R. S., &amp; Borba, B. S. M. C. (2023). State of the Art Monte Carlo Method Applied to Power System Analysis with Distributed Generation. Energies, 16(1), 394. https://doi.org/10.3390/en16010394</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Alvarez-Alvarado, M.S. and Jayaweera, D. (2020), Reliability-based smart-maintenance model for power system generators. IET Gener. Transm. Distrib., 14: 1770-1780. https://doi.org/10.1049/iet-gtd.2019.1186</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Firouzi, M., Samimi, A., &amp; Salami, A. (2022). Reliability evaluation of a composite power system in the presence of renewable generations. Reliability Engineering &amp; System Safety, 222, 108396. https://doi.org/10.1016/j.ress.2022.108396</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Jian Zuo, Nadia Yousfi Steiner, Zhongliang Li, Catherine Cadet, Christophe Bérenguer, &amp; Daniel Hissel (2025). Reinforcement learning-based maintenance scheduling for a stochastic deteriorating fuel cell considering stack-to-stack heterogeneity. Reliability Engineering &amp; System Safety, 256, 110700. https://doi.org/10.1016/j.ress.2024.110700</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Jingxin Xi, Bo Zhang, &amp; Yufeng Yang (2025). Calculation and Monte Carlo uncertainty analysis of the levelized cost of electricity for different energy power generation in the smart grid under time scales. Energy Strategy Reviews, 58, 101666. https://doi.org/10.1016/j.esr.2025.101666</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Khamiss Cheikh, El Mostapha BOUDI, Rabi Rabi, &amp; Hamza Mokhliss (2024). Balancing the maintenance strategies to making decisions using Monte Carlo method. MethodsX, 13, 102819. https://doi.org/10.1016/j.mex.2024.102819</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Kostaki, C. I., Dratsas, P. A., Psarros, G. N., Chatzistylianos, E. S., &amp; Papathanassiou, S. A. (2024). A Novel Method to Integrate Hydropower Plants into Resource Adequacy Assessment Studies. Energies, 17(17), 4237. https://doi.org/10.3390/en17174237</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Okumusoglu, B., Basciftci, B., &amp; Kocuk, B. (2024). An Integrated Predictive Maintenance and Operations Scheduling Framework for Power Systems Under Failure Uncertainty. INFORMS Journal on Computing, 36. https://doi.org/10.1287/ijoc.2022.0154</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Oliveira, M. T. B. d., Silva, P. d. S. O., Oliveira, E., Marcato, A. L. M., &amp; Junqueira, G. S. (2021). Availability Projections of Hydroelectric Power Plants through Monte Carlo Simulation. Energies, 14(24), 8398. https://doi.org/10.3390/en14248398</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Pathak, V., Sharma, R., &amp; Mishra, P. (2025). Reliability assessment of electrical power systems using Monte Carlo simulation. Journal of Electrical Power System Engineering and Technology, 7(1), 1–10. https://admin.mantechpublications.com/index.php/JoEPSET/article/viewFile/1668/230</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Sajad Najafi-Shad, Mozhdeh Mollashahi, &amp; Seyyed Mohsen Sadr (2024). A new evaluation method for customer outage costs using long-term outage data and Monte Carlo simulation. International Journal of Electrical Power &amp; Energy Systems, 159, 110061. https://doi.org/10.1016/j.ijepes.2024.110061</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Salman, H. M., Pasupuleti, J., &amp; Sabry, A. H. (2023). Review on Causes of Power Outages and Their Occurrence: Mitigation Strategies. Sustainability, 15(20), 15001. https://doi.org/10.3390/su152015001</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Xu, W., Chen, S., Han, G., Yu, N., &amp; Xu, H. (2023). A Monte Carlo tree search-based method for decision making of generator serial restoration sequence. Frontiers in Energy Research, 10. https://doi.org/10.3389/fenrg.2022.1007914</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Yorlandys Salgado Duarte, Janusz Szpytko, &amp; Alfredo M. del Castillo Serpa (2020). Monte Carlo simulation model to coordinate the preventive maintenance scheduling of generating units in isolated distributed Power Systems. Electric Power Systems Research, 182, 106237. https://doi.org/10.1016/j.epsr.2020.106237</w:t>
      </w:r>
    </w:p>
    <w:p>
      <w:pPr>
        <w:spacing w:after="140" w:before="280"/>
      </w:pPr>
      <w:r>
        <w:rPr>
          <w:rFonts w:ascii="Times New Roman" w:cs="Times New Roman" w:eastAsia="Times New Roman" w:hAnsi="Times New Roman"/>
          <w:b/>
          <w:bCs/>
          <w:sz w:val="23"/>
          <w:szCs w:val="23"/>
          <w:u w:val="single"/>
        </w:rPr>
        <w:t xml:space="preserve">(13) ESTIMATED BUDGETARY REQUIREMENT</w:t>
      </w:r>
    </w:p>
    <w:p>
      <w:pPr>
        <w:spacing w:after="100" w:before="0" w:line="276"/>
      </w:pPr>
      <w:r>
        <w:rPr>
          <w:rFonts w:ascii="Times New Roman" w:cs="Times New Roman" w:eastAsia="Times New Roman" w:hAnsi="Times New Roman"/>
          <w:b/>
          <w:bCs/>
          <w:sz w:val="22"/>
          <w:szCs w:val="22"/>
        </w:rPr>
        <w:t xml:space="preserve">Research TOTAL COST: </w:t>
      </w:r>
      <w:r>
        <w:rPr>
          <w:rFonts w:ascii="Times New Roman" w:cs="Times New Roman" w:eastAsia="Times New Roman" w:hAnsi="Times New Roman"/>
          <w:b/>
          <w:bCs/>
          <w:sz w:val="22"/>
          <w:szCs w:val="22"/>
        </w:rPr>
        <w:t xml:space="preserve">Php 1,463,105.60</w:t>
      </w:r>
    </w:p>
    <w:p>
      <w:pPr>
        <w:spacing w:after="140" w:before="0" w:line="276"/>
      </w:pPr>
      <w:r>
        <w:rPr>
          <w:rFonts w:ascii="Times New Roman" w:cs="Times New Roman" w:eastAsia="Times New Roman" w:hAnsi="Times New Roman"/>
          <w:b w:val="false"/>
          <w:bCs w:val="false"/>
          <w:i/>
          <w:iCs/>
          <w:sz w:val="18"/>
          <w:szCs w:val="18"/>
        </w:rPr>
        <w:t xml:space="preserve">(Amount recomputed from the itemized Line-Item Budget in ORM-RP Form 02, applying the RELE-based indirect-cost formula per BOR Resolution No. 295, s.2019. See the attached spreadsheet for the full breakdown.)</w:t>
      </w:r>
    </w:p>
    <w:p>
      <w:pPr>
        <w:spacing w:after="140" w:before="280"/>
      </w:pPr>
      <w:r>
        <w:rPr>
          <w:rFonts w:ascii="Times New Roman" w:cs="Times New Roman" w:eastAsia="Times New Roman" w:hAnsi="Times New Roman"/>
          <w:b/>
          <w:bCs/>
          <w:sz w:val="23"/>
          <w:szCs w:val="23"/>
          <w:u w:val="single"/>
        </w:rPr>
        <w:t xml:space="preserve">(14) DETAILED LIB</w:t>
      </w:r>
    </w:p>
    <w:p>
      <w:pPr>
        <w:spacing w:after="140" w:before="0" w:line="276"/>
      </w:pPr>
      <w:r>
        <w:rPr>
          <w:rFonts w:ascii="Times New Roman" w:cs="Times New Roman" w:eastAsia="Times New Roman" w:hAnsi="Times New Roman"/>
          <w:b w:val="false"/>
          <w:bCs w:val="false"/>
          <w:i w:val="false"/>
          <w:iCs w:val="false"/>
          <w:sz w:val="22"/>
          <w:szCs w:val="22"/>
        </w:rPr>
        <w:t xml:space="preserve">Please see the attached ORM-RP Form 02 — Research Project Line-Item Budget (CY 2027), submitted as a separate spreadsheet.</w:t>
      </w:r>
    </w:p>
    <w:p>
      <w:pPr>
        <w:spacing w:after="140" w:before="280"/>
      </w:pPr>
      <w:r>
        <w:rPr>
          <w:rFonts w:ascii="Times New Roman" w:cs="Times New Roman" w:eastAsia="Times New Roman" w:hAnsi="Times New Roman"/>
          <w:b/>
          <w:bCs/>
          <w:sz w:val="23"/>
          <w:szCs w:val="23"/>
          <w:u w:val="single"/>
        </w:rPr>
        <w:t xml:space="preserve">(15) CURRICULUM VITAE</w:t>
      </w:r>
    </w:p>
    <w:p>
      <w:pPr>
        <w:spacing w:after="140" w:before="0" w:line="276"/>
      </w:pPr>
      <w:r>
        <w:rPr>
          <w:rFonts w:ascii="Times New Roman" w:cs="Times New Roman" w:eastAsia="Times New Roman" w:hAnsi="Times New Roman"/>
          <w:b w:val="false"/>
          <w:bCs w:val="false"/>
          <w:i/>
          <w:iCs/>
          <w:sz w:val="20"/>
          <w:szCs w:val="20"/>
        </w:rPr>
        <w:t xml:space="preserve">Curriculum vitae — brief updated profile of the Project Leader. One (1) page only. [To be attached separately.]</w:t>
      </w:r>
    </w:p>
    <w:p>
      <w:pPr>
        <w:spacing w:after="140" w:before="280"/>
      </w:pPr>
      <w:r>
        <w:rPr>
          <w:rFonts w:ascii="Times New Roman" w:cs="Times New Roman" w:eastAsia="Times New Roman" w:hAnsi="Times New Roman"/>
          <w:b/>
          <w:bCs/>
          <w:sz w:val="23"/>
          <w:szCs w:val="23"/>
          <w:u w:val="single"/>
        </w:rPr>
        <w:t xml:space="preserve">(16) OTHER ONGOING PROJECTS BEING HANDLED BY THE PROJECT LEADER: 1 (number)</w:t>
      </w:r>
    </w:p>
    <w:p>
      <w:pPr>
        <w:spacing w:after="100" w:before="0" w:line="276"/>
      </w:pPr>
      <w:r>
        <w:rPr>
          <w:rFonts w:ascii="Times New Roman" w:cs="Times New Roman" w:eastAsia="Times New Roman" w:hAnsi="Times New Roman"/>
          <w:b w:val="false"/>
          <w:bCs w:val="false"/>
          <w:i/>
          <w:iCs/>
          <w:sz w:val="18"/>
          <w:szCs w:val="18"/>
        </w:rPr>
        <w:t xml:space="preserve">(List of ongoing projects being handled by the Project Leader funded internally or through external funding agencies (DOST, CHED, USAID, etc.), and the accompanying responsibilities relevant to the project.)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504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Title of the Project</w:t>
            </w:r>
          </w:p>
        </w:tc>
        <w:tc>
          <w:tcPr>
            <w:tcW w:type="dxa" w:w="304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Funding Agency</w:t>
            </w:r>
          </w:p>
        </w:tc>
        <w:tc>
          <w:tcPr>
            <w:tcW w:type="dxa" w:w="20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Involvement in the Project</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Electrical Fault Detection System for Room/Building Application</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Futures Thinking and Artificial Intelligence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Project Lead</w:t>
            </w:r>
          </w:p>
        </w:tc>
      </w:tr>
    </w:tbl>
    <w:p>
      <w:pPr>
        <w:spacing w:after="140" w:before="0" w:line="276"/>
      </w:pPr>
      <w:r>
        <w:rPr>
          <w:rFonts w:ascii="Times New Roman" w:cs="Times New Roman" w:eastAsia="Times New Roman" w:hAnsi="Times New Roman"/>
          <w:b w:val="false"/>
          <w:bCs w:val="false"/>
          <w:i w:val="false"/>
          <w:iCs w:val="false"/>
          <w:sz w:val="22"/>
          <w:szCs w:val="22"/>
        </w:rPr>
        <w:t xml:space="preserve"/>
      </w:r>
    </w:p>
    <w:p>
      <w:pPr>
        <w:spacing w:after="200" w:before="0" w:line="276"/>
      </w:pPr>
      <w:r>
        <w:rPr>
          <w:rFonts w:ascii="Times New Roman" w:cs="Times New Roman" w:eastAsia="Times New Roman" w:hAnsi="Times New Roman"/>
          <w:b/>
          <w:bCs/>
          <w:i w:val="false"/>
          <w:iCs w:val="false"/>
          <w:sz w:val="22"/>
          <w:szCs w:val="22"/>
        </w:rPr>
        <w:t xml:space="preserve">I hereby certify the truth of the foregoing. Any willful omission/false statement shall be a basis of disapproval and cancellation of the project.</w:t>
      </w:r>
    </w:p>
    <w:p>
      <w:pPr>
        <w:spacing w:after="140" w:before="280"/>
      </w:pPr>
      <w:r>
        <w:rPr>
          <w:rFonts w:ascii="Times New Roman" w:cs="Times New Roman" w:eastAsia="Times New Roman" w:hAnsi="Times New Roman"/>
          <w:b/>
          <w:bCs/>
          <w:sz w:val="23"/>
          <w:szCs w:val="23"/>
          <w:u w:val="single"/>
        </w:rPr>
        <w:t xml:space="preserve">(17) SUBMITTED BY / ENDORSED BY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040"/>
            <w:tcMar>
              <w:top w:type="dxa" w:w="60"/>
              <w:left w:type="dxa" w:w="100"/>
              <w:bottom w:type="dxa" w:w="60"/>
              <w:right w:type="dxa" w:w="100"/>
            </w:tcMar>
            <w:vAlign w:val="top"/>
          </w:tcPr>
          <w:p>
            <w:pPr>
              <w:spacing w:after="50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pPr>
            <w:r>
              <w:rPr>
                <w:rFonts w:ascii="Times New Roman" w:cs="Times New Roman" w:eastAsia="Times New Roman" w:hAnsi="Times New Roman"/>
                <w:b w:val="false"/>
                <w:bCs w:val="false"/>
                <w:i w:val="false"/>
                <w:iCs w:val="false"/>
                <w:sz w:val="20"/>
                <w:szCs w:val="20"/>
              </w:rPr>
              <w:t xml:space="preserve">_____________________________</w:t>
            </w:r>
          </w:p>
          <w:p>
            <w:pPr>
              <w:spacing w:after="20" w:before="0" w:line="276"/>
            </w:pPr>
            <w:r>
              <w:rPr>
                <w:rFonts w:ascii="Times New Roman" w:cs="Times New Roman" w:eastAsia="Times New Roman" w:hAnsi="Times New Roman"/>
                <w:b/>
                <w:bCs/>
                <w:i w:val="false"/>
                <w:iCs w:val="false"/>
                <w:sz w:val="20"/>
                <w:szCs w:val="20"/>
              </w:rPr>
              <w:t xml:space="preserve">Marven E. Jabian, PhD</w:t>
            </w:r>
          </w:p>
          <w:p>
            <w:pPr>
              <w:spacing w:after="20" w:before="0" w:line="276"/>
            </w:pPr>
            <w:r>
              <w:rPr>
                <w:rFonts w:ascii="Times New Roman" w:cs="Times New Roman" w:eastAsia="Times New Roman" w:hAnsi="Times New Roman"/>
                <w:b w:val="false"/>
                <w:bCs w:val="false"/>
                <w:i/>
                <w:iCs/>
                <w:sz w:val="20"/>
                <w:szCs w:val="20"/>
              </w:rPr>
              <w:t xml:space="preserve">SUBMITTED BY (Project Leader)</w:t>
            </w:r>
          </w:p>
          <w:p>
            <w:pPr>
              <w:spacing w:after="0" w:before="0" w:line="276"/>
            </w:pPr>
            <w:r>
              <w:rPr>
                <w:rFonts w:ascii="Times New Roman" w:cs="Times New Roman" w:eastAsia="Times New Roman" w:hAnsi="Times New Roman"/>
                <w:b w:val="false"/>
                <w:bCs w:val="false"/>
                <w:i w:val="false"/>
                <w:iCs w:val="false"/>
                <w:sz w:val="20"/>
                <w:szCs w:val="20"/>
              </w:rPr>
              <w:t xml:space="preserve">Date: ______________</w:t>
            </w:r>
          </w:p>
        </w:tc>
        <w:tc>
          <w:tcPr>
            <w:tcW w:type="dxa" w:w="5040"/>
            <w:tcMar>
              <w:top w:type="dxa" w:w="60"/>
              <w:left w:type="dxa" w:w="100"/>
              <w:bottom w:type="dxa" w:w="60"/>
              <w:right w:type="dxa" w:w="100"/>
            </w:tcMar>
            <w:vAlign w:val="top"/>
          </w:tcPr>
          <w:p>
            <w:pPr>
              <w:spacing w:after="50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pPr>
            <w:r>
              <w:rPr>
                <w:rFonts w:ascii="Times New Roman" w:cs="Times New Roman" w:eastAsia="Times New Roman" w:hAnsi="Times New Roman"/>
                <w:b w:val="false"/>
                <w:bCs w:val="false"/>
                <w:i w:val="false"/>
                <w:iCs w:val="false"/>
                <w:sz w:val="20"/>
                <w:szCs w:val="20"/>
              </w:rPr>
              <w:t xml:space="preserve">_____________________________</w:t>
            </w:r>
          </w:p>
          <w:p>
            <w:pPr>
              <w:spacing w:after="20" w:before="0" w:line="276"/>
            </w:pPr>
            <w:r>
              <w:rPr>
                <w:rFonts w:ascii="Times New Roman" w:cs="Times New Roman" w:eastAsia="Times New Roman" w:hAnsi="Times New Roman"/>
                <w:b w:val="false"/>
                <w:bCs w:val="false"/>
                <w:i w:val="false"/>
                <w:iCs w:val="false"/>
                <w:sz w:val="20"/>
                <w:szCs w:val="20"/>
              </w:rPr>
              <w:t xml:space="preserve">Signature over Printed Name</w:t>
            </w:r>
          </w:p>
          <w:p>
            <w:pPr>
              <w:spacing w:after="20" w:before="0" w:line="276"/>
            </w:pPr>
            <w:r>
              <w:rPr>
                <w:rFonts w:ascii="Times New Roman" w:cs="Times New Roman" w:eastAsia="Times New Roman" w:hAnsi="Times New Roman"/>
                <w:b w:val="false"/>
                <w:bCs w:val="false"/>
                <w:i/>
                <w:iCs/>
                <w:sz w:val="20"/>
                <w:szCs w:val="20"/>
              </w:rPr>
              <w:t xml:space="preserve">ENDORSED BY (Dept. Chairperson)</w:t>
            </w:r>
          </w:p>
          <w:p>
            <w:pPr>
              <w:spacing w:after="0" w:before="0" w:line="276"/>
            </w:pPr>
            <w:r>
              <w:rPr>
                <w:rFonts w:ascii="Times New Roman" w:cs="Times New Roman" w:eastAsia="Times New Roman" w:hAnsi="Times New Roman"/>
                <w:b w:val="false"/>
                <w:bCs w:val="false"/>
                <w:i w:val="false"/>
                <w:iCs w:val="false"/>
                <w:sz w:val="20"/>
                <w:szCs w:val="20"/>
              </w:rPr>
              <w:t xml:space="preserve">Date: ______________</w:t>
            </w:r>
          </w:p>
        </w:tc>
      </w:tr>
      <w:tr>
        <w:tc>
          <w:tcPr>
            <w:tcW w:type="dxa" w:w="5040"/>
            <w:tcMar>
              <w:top w:type="dxa" w:w="60"/>
              <w:left w:type="dxa" w:w="100"/>
              <w:bottom w:type="dxa" w:w="60"/>
              <w:right w:type="dxa" w:w="100"/>
            </w:tcMar>
            <w:vAlign w:val="top"/>
          </w:tcPr>
          <w:p>
            <w:pPr>
              <w:spacing w:after="0" w:before="0" w:line="276"/>
            </w:pPr>
            <w:r>
              <w:rPr>
                <w:rFonts w:ascii="Times New Roman" w:cs="Times New Roman" w:eastAsia="Times New Roman" w:hAnsi="Times New Roman"/>
                <w:b w:val="false"/>
                <w:bCs w:val="false"/>
                <w:i w:val="false"/>
                <w:iCs w:val="false"/>
                <w:sz w:val="22"/>
                <w:szCs w:val="22"/>
              </w:rPr>
              <w:t xml:space="preserve"/>
            </w:r>
          </w:p>
        </w:tc>
        <w:tc>
          <w:tcPr>
            <w:tcW w:type="dxa" w:w="5040"/>
            <w:tcMar>
              <w:top w:type="dxa" w:w="60"/>
              <w:left w:type="dxa" w:w="100"/>
              <w:bottom w:type="dxa" w:w="60"/>
              <w:right w:type="dxa" w:w="100"/>
            </w:tcMar>
            <w:vAlign w:val="top"/>
          </w:tcPr>
          <w:p>
            <w:pPr>
              <w:spacing w:after="0" w:before="0" w:line="276"/>
            </w:pPr>
            <w:r>
              <w:rPr>
                <w:rFonts w:ascii="Times New Roman" w:cs="Times New Roman" w:eastAsia="Times New Roman" w:hAnsi="Times New Roman"/>
                <w:b w:val="false"/>
                <w:bCs w:val="false"/>
                <w:i w:val="false"/>
                <w:iCs w:val="false"/>
                <w:sz w:val="22"/>
                <w:szCs w:val="22"/>
              </w:rPr>
              <w:t xml:space="preserve"/>
            </w:r>
          </w:p>
        </w:tc>
      </w:tr>
      <w:tr>
        <w:tc>
          <w:tcPr>
            <w:tcW w:type="dxa" w:w="5040"/>
            <w:tcMar>
              <w:top w:type="dxa" w:w="60"/>
              <w:left w:type="dxa" w:w="100"/>
              <w:bottom w:type="dxa" w:w="60"/>
              <w:right w:type="dxa" w:w="100"/>
            </w:tcMar>
            <w:vAlign w:val="top"/>
          </w:tcPr>
          <w:p>
            <w:pPr>
              <w:spacing w:after="50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pPr>
            <w:r>
              <w:rPr>
                <w:rFonts w:ascii="Times New Roman" w:cs="Times New Roman" w:eastAsia="Times New Roman" w:hAnsi="Times New Roman"/>
                <w:b w:val="false"/>
                <w:bCs w:val="false"/>
                <w:i w:val="false"/>
                <w:iCs w:val="false"/>
                <w:sz w:val="20"/>
                <w:szCs w:val="20"/>
              </w:rPr>
              <w:t xml:space="preserve">_____________________________</w:t>
            </w:r>
          </w:p>
          <w:p>
            <w:pPr>
              <w:spacing w:after="20" w:before="0" w:line="276"/>
            </w:pPr>
            <w:r>
              <w:rPr>
                <w:rFonts w:ascii="Times New Roman" w:cs="Times New Roman" w:eastAsia="Times New Roman" w:hAnsi="Times New Roman"/>
                <w:b/>
                <w:bCs/>
                <w:i w:val="false"/>
                <w:iCs w:val="false"/>
                <w:sz w:val="20"/>
                <w:szCs w:val="20"/>
              </w:rPr>
              <w:t xml:space="preserve">Jefferson A. Hora, PhD</w:t>
            </w:r>
          </w:p>
          <w:p>
            <w:pPr>
              <w:spacing w:after="20" w:before="0" w:line="276"/>
            </w:pPr>
            <w:r>
              <w:rPr>
                <w:rFonts w:ascii="Times New Roman" w:cs="Times New Roman" w:eastAsia="Times New Roman" w:hAnsi="Times New Roman"/>
                <w:b w:val="false"/>
                <w:bCs w:val="false"/>
                <w:i/>
                <w:iCs/>
                <w:sz w:val="20"/>
                <w:szCs w:val="20"/>
              </w:rPr>
              <w:t xml:space="preserve">ENDORSED BY (College Dean)</w:t>
            </w:r>
          </w:p>
          <w:p>
            <w:pPr>
              <w:spacing w:after="0" w:before="0" w:line="276"/>
            </w:pPr>
            <w:r>
              <w:rPr>
                <w:rFonts w:ascii="Times New Roman" w:cs="Times New Roman" w:eastAsia="Times New Roman" w:hAnsi="Times New Roman"/>
                <w:b w:val="false"/>
                <w:bCs w:val="false"/>
                <w:i w:val="false"/>
                <w:iCs w:val="false"/>
                <w:sz w:val="20"/>
                <w:szCs w:val="20"/>
              </w:rPr>
              <w:t xml:space="preserve">Date: ______________</w:t>
            </w:r>
          </w:p>
        </w:tc>
        <w:tc>
          <w:tcPr>
            <w:tcW w:type="dxa" w:w="5040"/>
            <w:tcMar>
              <w:top w:type="dxa" w:w="60"/>
              <w:left w:type="dxa" w:w="100"/>
              <w:bottom w:type="dxa" w:w="60"/>
              <w:right w:type="dxa" w:w="100"/>
            </w:tcMar>
            <w:vAlign w:val="top"/>
          </w:tcPr>
          <w:p>
            <w:pPr>
              <w:spacing w:after="50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pPr>
            <w:r>
              <w:rPr>
                <w:rFonts w:ascii="Times New Roman" w:cs="Times New Roman" w:eastAsia="Times New Roman" w:hAnsi="Times New Roman"/>
                <w:b w:val="false"/>
                <w:bCs w:val="false"/>
                <w:i w:val="false"/>
                <w:iCs w:val="false"/>
                <w:sz w:val="20"/>
                <w:szCs w:val="20"/>
              </w:rPr>
              <w:t xml:space="preserve">_____________________________</w:t>
            </w:r>
          </w:p>
          <w:p>
            <w:pPr>
              <w:spacing w:after="20" w:before="0" w:line="276"/>
            </w:pPr>
            <w:r>
              <w:rPr>
                <w:rFonts w:ascii="Times New Roman" w:cs="Times New Roman" w:eastAsia="Times New Roman" w:hAnsi="Times New Roman"/>
                <w:b w:val="false"/>
                <w:bCs w:val="false"/>
                <w:i w:val="false"/>
                <w:iCs w:val="false"/>
                <w:sz w:val="20"/>
                <w:szCs w:val="20"/>
              </w:rPr>
              <w:t xml:space="preserve">Signature over Printed Name</w:t>
            </w:r>
          </w:p>
          <w:p>
            <w:pPr>
              <w:spacing w:after="20" w:before="0" w:line="276"/>
            </w:pPr>
            <w:r>
              <w:rPr>
                <w:rFonts w:ascii="Times New Roman" w:cs="Times New Roman" w:eastAsia="Times New Roman" w:hAnsi="Times New Roman"/>
                <w:b w:val="false"/>
                <w:bCs w:val="false"/>
                <w:i/>
                <w:iCs/>
                <w:sz w:val="20"/>
                <w:szCs w:val="20"/>
              </w:rPr>
              <w:t xml:space="preserve">If PRISM Project, ENDORSED BY (PRISM Director)</w:t>
            </w:r>
          </w:p>
          <w:p>
            <w:pPr>
              <w:spacing w:after="0" w:before="0" w:line="276"/>
            </w:pPr>
            <w:r>
              <w:rPr>
                <w:rFonts w:ascii="Times New Roman" w:cs="Times New Roman" w:eastAsia="Times New Roman" w:hAnsi="Times New Roman"/>
                <w:b w:val="false"/>
                <w:bCs w:val="false"/>
                <w:i w:val="false"/>
                <w:iCs w:val="false"/>
                <w:sz w:val="20"/>
                <w:szCs w:val="20"/>
              </w:rPr>
              <w:t xml:space="preserve">Date: 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817da8e3d322874bfdd19be2db8265e1a9b5b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2026-08-25T07:27:13.078Z</dcterms:created>
  <dcterms:modified xsi:type="dcterms:W3CDTF">2026-08-25T07:27:13.079Z</dcterms:modified>
</cp:coreProperties>
</file>

<file path=docProps/custom.xml><?xml version="1.0" encoding="utf-8"?>
<Properties xmlns="http://schemas.openxmlformats.org/officeDocument/2006/custom-properties" xmlns:vt="http://schemas.openxmlformats.org/officeDocument/2006/docPropsVTypes"/>
</file>