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44"/>
          <w:szCs w:val="44"/>
        </w:rPr>
        <w:t xml:space="preserve">Relatório de Tarefa MVP</w:t>
      </w:r>
    </w:p>
    <w:p>
      <w:pPr>
        <w:spacing w:after="100"/>
        <w:jc w:val="center"/>
      </w:pPr>
      <w:r>
        <w:rPr>
          <w:b/>
          <w:bCs/>
          <w:color w:val="2E75B6"/>
          <w:sz w:val="30"/>
          <w:szCs w:val="30"/>
        </w:rPr>
        <w:t xml:space="preserve">Monitoramento Automático de Fatos Relevantes CVM</w:t>
      </w:r>
    </w:p>
    <w:p>
      <w:pPr>
        <w:spacing w:after="600"/>
        <w:jc w:val="center"/>
      </w:pPr>
      <w:r>
        <w:rPr>
          <w:i/>
          <w:iCs/>
          <w:sz w:val="22"/>
          <w:szCs w:val="22"/>
        </w:rPr>
        <w:t xml:space="preserve">Construção, operação, manutenção e plano de sucessão</w:t>
      </w:r>
    </w:p>
    <w:p>
      <w:pPr>
        <w:spacing w:after="80"/>
        <w:jc w:val="center"/>
      </w:pPr>
      <w:r>
        <w:rPr>
          <w:sz w:val="22"/>
          <w:szCs w:val="22"/>
        </w:rPr>
        <w:t xml:space="preserve">Responsável atual: Maria Vitória Pavan</w:t>
      </w:r>
    </w:p>
    <w:p>
      <w:pPr>
        <w:spacing w:after="80"/>
        <w:jc w:val="center"/>
      </w:pPr>
      <w:r>
        <w:rPr>
          <w:sz w:val="22"/>
          <w:szCs w:val="22"/>
        </w:rPr>
        <w:t xml:space="preserve">Versão 1.1 — Maio 2026 (atualizada)</w:t>
      </w:r>
    </w:p>
    <w:p>
      <w:pPr>
        <w:spacing w:after="80"/>
        <w:jc w:val="center"/>
      </w:pPr>
      <w:r>
        <w:rPr>
          <w:color w:val="555555"/>
          <w:sz w:val="18"/>
          <w:szCs w:val="18"/>
        </w:rPr>
        <w:t xml:space="preserve">Repositório: github.com/marvin-monitoramento/marvin-cvm-fatos-relevantes</w:t>
      </w:r>
    </w:p>
    <w:p>
      <w:r>
        <w:br w:type="page"/>
      </w:r>
    </w:p>
    <w:p>
      <w:pPr>
        <w:pStyle w:val="Heading1"/>
        <w:spacing w:after="180" w:before="320"/>
      </w:pPr>
      <w:r>
        <w:rPr>
          <w:b/>
          <w:bCs/>
          <w:color w:val="2E75B6"/>
          <w:sz w:val="30"/>
          <w:szCs w:val="30"/>
        </w:rPr>
        <w:t xml:space="preserve">Sumário Executivo</w:t>
      </w:r>
    </w:p>
    <w:p>
      <w:pPr>
        <w:spacing w:after="120"/>
      </w:pPr>
      <w:r>
        <w:t xml:space="preserve">Este documento descreve o projeto MVP de Monitoramento Automático de Fatos Relevantes da CVM, construído pela área de Risco da Marvin para detectar proativamente eventos materiais publicados pelos devedores listados da carteira ativa de garantias. O sistema opera de forma autônoma e está sob a organização marvin-monitoramento no GitHub.</w:t>
      </w:r>
    </w:p>
    <w:p>
      <w:pPr>
        <w:spacing w:after="120"/>
      </w:pPr>
      <w:r>
        <w:t xml:space="preserve">Esta versão 1.1 atualiza o documento com as evoluções de Maio/2026: transferência do repositório para a organização Marvin, documentação do procedimento institucional de regeneração do token ClickUp, reorganização das pastas do projeto e remoção da classificação automática de materialidade das saídas visíveis (a critério editorial da responsável).</w:t>
      </w:r>
    </w:p>
    <w:p>
      <w:pPr>
        <w:pStyle w:val="Heading2"/>
        <w:spacing w:after="120" w:before="220"/>
      </w:pPr>
      <w:r>
        <w:rPr>
          <w:b/>
          <w:bCs/>
          <w:color w:val="2E75B6"/>
          <w:sz w:val="24"/>
          <w:szCs w:val="24"/>
        </w:rPr>
        <w:t xml:space="preserve">Status 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Item</w:t>
            </w:r>
          </w:p>
        </w:tc>
        <w:tc>
          <w:tcPr>
            <w:tcW w:type="dxa" w:w="38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Estado</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Pipeline Python coletando da CVM (IPE)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Operacional</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20 devedores reais na watchlist</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Configurados</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Matching por raiz de CNPJ (matriz + filiais)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Implementado</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Planilha histórica auditável</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Geração automática</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E-mail diário via Outlook (camada local)</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Operacional</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Task no ClickUp + e-mail (camada cloud)</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Operacional</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Repositório na organização Marvin no GitHub</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Resolvido</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Procedimento de regeneração do token ClickUp</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Documentado e versionado</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Documentação institucional (manual, plano, comunicação)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Versionada no GitHub</w:t>
            </w:r>
          </w:p>
        </w:tc>
      </w:tr>
      <w:tr>
        <w:trPr>
          <w:tblHeader w:val="false"/>
        </w:trP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Cobertura de devedores não listados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Pendente (Fase 2A)</w:t>
            </w:r>
          </w:p>
        </w:tc>
      </w:tr>
    </w:tbl>
    <w:p>
      <w:pPr>
        <w:pStyle w:val="Heading1"/>
        <w:spacing w:after="180" w:before="320"/>
      </w:pPr>
      <w:r>
        <w:rPr>
          <w:b/>
          <w:bCs/>
          <w:color w:val="2E75B6"/>
          <w:sz w:val="30"/>
          <w:szCs w:val="30"/>
        </w:rPr>
        <w:t xml:space="preserve">1. Contexto e Motivação</w:t>
      </w:r>
    </w:p>
    <w:p>
      <w:pPr>
        <w:pStyle w:val="Heading2"/>
        <w:spacing w:after="120" w:before="220"/>
      </w:pPr>
      <w:r>
        <w:rPr>
          <w:b/>
          <w:bCs/>
          <w:color w:val="2E75B6"/>
          <w:sz w:val="24"/>
          <w:szCs w:val="24"/>
        </w:rPr>
        <w:t xml:space="preserve">1.1. Por que esse monitoramento existe</w:t>
      </w:r>
    </w:p>
    <w:p>
      <w:pPr>
        <w:spacing w:after="120"/>
      </w:pPr>
      <w:r>
        <w:t xml:space="preserve">A Marvin atua como Agente de Garantias de grandes credores, gerindo colaterais financeiros (recebíveis de cartão, cash-in-transit, duplicatas, contratos comerciais) como garantia de exposições que, em geral, ultrapassam R$ 15 milhões por devedor.</w:t>
      </w:r>
    </w:p>
    <w:p>
      <w:pPr>
        <w:spacing w:after="120"/>
      </w:pPr>
      <w:r>
        <w:t xml:space="preserve">O sistema interno da Marvin (ICG, agenda performada, gravames de terceiros) detecta deterioração do colateral em tempo real. Eventos adversos externos, no entanto, como troca abrupta de auditor, renegociação de covenants ou ação judicial relevante, antecedem a deterioração do colateral em semanas ou meses. Capturar esses sinais cedo permite ao time de Risco agir antes — apertar covenants, reter recursos, alertar o credor — em vez de reagir depois.</w:t>
      </w:r>
    </w:p>
    <w:p>
      <w:pPr>
        <w:spacing w:after="120"/>
      </w:pPr>
      <w:r>
        <w:t xml:space="preserve">Este monitor é o primeiro canal automatizado para essa captura, focado em devedores listados na CVM, que são obrigados pela Resolução CVM 44/2021 a divulgar fatos relevantes em até um dia útil.</w:t>
      </w:r>
    </w:p>
    <w:p>
      <w:pPr>
        <w:pStyle w:val="Heading2"/>
        <w:spacing w:after="120" w:before="220"/>
      </w:pPr>
      <w:r>
        <w:rPr>
          <w:b/>
          <w:bCs/>
          <w:color w:val="2E75B6"/>
          <w:sz w:val="24"/>
          <w:szCs w:val="24"/>
        </w:rPr>
        <w:t xml:space="preserve">1.2. Lugar no sistema de risco da Marvin</w:t>
      </w:r>
    </w:p>
    <w:p>
      <w:pPr>
        <w:spacing w:after="120"/>
      </w:pPr>
      <w:r>
        <w:t xml:space="preserve">Este projeto é parte de uma família de monitoramentos automáticos da Marvin, todos com manuais e padrões similares:</w:t>
      </w:r>
    </w:p>
    <w:p>
      <w:pPr>
        <w:pStyle w:val="ListParagraph"/>
        <w:numPr>
          <w:ilvl w:val="0"/>
          <w:numId w:val="2"/>
        </w:numPr>
        <w:spacing w:after="80"/>
      </w:pPr>
      <w:r>
        <w:t xml:space="preserve">Monitoramento de Vencimento de Poderes (ClickUp).</w:t>
      </w:r>
    </w:p>
    <w:p>
      <w:pPr>
        <w:pStyle w:val="ListParagraph"/>
        <w:numPr>
          <w:ilvl w:val="0"/>
          <w:numId w:val="2"/>
        </w:numPr>
        <w:spacing w:after="80"/>
      </w:pPr>
      <w:r>
        <w:t xml:space="preserve">Monitoramento JUCESP (mudanças cadastrais de Fiduciantes).</w:t>
      </w:r>
    </w:p>
    <w:p>
      <w:pPr>
        <w:pStyle w:val="ListParagraph"/>
        <w:numPr>
          <w:ilvl w:val="0"/>
          <w:numId w:val="2"/>
        </w:numPr>
        <w:spacing w:after="80"/>
      </w:pPr>
      <w:r>
        <w:t xml:space="preserve">Monitoramento de Ratings de Crédito (GitHub Actions + ClickUp).</w:t>
      </w:r>
    </w:p>
    <w:p>
      <w:pPr>
        <w:pStyle w:val="ListParagraph"/>
        <w:numPr>
          <w:ilvl w:val="0"/>
          <w:numId w:val="2"/>
        </w:numPr>
        <w:spacing w:after="80"/>
      </w:pPr>
      <w:r>
        <w:t xml:space="preserve">Monitoramento de Fatos Relevantes CVM (este documento).</w:t>
      </w:r>
    </w:p>
    <w:p>
      <w:pPr>
        <w:pStyle w:val="Heading1"/>
        <w:spacing w:after="180" w:before="320"/>
      </w:pPr>
      <w:r>
        <w:rPr>
          <w:b/>
          <w:bCs/>
          <w:color w:val="2E75B6"/>
          <w:sz w:val="30"/>
          <w:szCs w:val="30"/>
        </w:rPr>
        <w:t xml:space="preserve">2. O Que Foi Entregue</w:t>
      </w:r>
    </w:p>
    <w:p>
      <w:pPr>
        <w:pStyle w:val="Heading2"/>
        <w:spacing w:after="120" w:before="220"/>
      </w:pPr>
      <w:r>
        <w:rPr>
          <w:b/>
          <w:bCs/>
          <w:color w:val="2E75B6"/>
          <w:sz w:val="24"/>
          <w:szCs w:val="24"/>
        </w:rPr>
        <w:t xml:space="preserve">2.1. Componentes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Componente</w:t>
            </w:r>
          </w:p>
        </w:tc>
        <w:tc>
          <w:tcPr>
            <w:tcW w:type="dxa" w:w="5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O que faz</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monitor.py (local)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Roda no PC da responsável a cada login. Coleta, filtra, persiste, envia e-mail.</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monitor.py (cloud)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Roda no GitHub Actions diariamente às 10h BRT. Mesma lógica, notifica via ClickUp.</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watchlist.csv</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Lista dos 20 devedores monitorados, com CNPJ, razão social e credor principal.</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02. Histórico/</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Pasta com a planilha histórica formatada (.xlsx) + CSV auditável.</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docs/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Documentação institucional versionada no GitHub: manual PDF, este relatório, working plan, comunicação interna.</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PROCEDIMENTO-Regeneracao-Token-ClickUp.md</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Procedimento institucional de troca do titular do token, na raiz do repositório.</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Pasta de Inicialização (Windows)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Atalho que faz o monitor local rodar a cada login da responsável.</w:t>
            </w:r>
          </w:p>
        </w:tc>
      </w:tr>
    </w:tbl>
    <w:p>
      <w:pPr>
        <w:pStyle w:val="Heading2"/>
        <w:spacing w:after="120" w:before="220"/>
      </w:pPr>
      <w:r>
        <w:rPr>
          <w:b/>
          <w:bCs/>
          <w:color w:val="2E75B6"/>
          <w:sz w:val="24"/>
          <w:szCs w:val="24"/>
        </w:rPr>
        <w:t xml:space="preserve">2.2. Devedores monitorados</w:t>
      </w:r>
    </w:p>
    <w:p>
      <w:pPr>
        <w:spacing w:after="120"/>
      </w:pPr>
      <w:r>
        <w:t xml:space="preserve">Lista atual da watchlist.csv, baseada nos ICFs ativos da Marvin: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Devedor</w:t>
            </w:r>
          </w:p>
        </w:tc>
        <w:tc>
          <w:tcPr>
            <w:tcW w:type="dxa" w:w="25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CNPJ raiz</w:t>
            </w:r>
          </w:p>
        </w:tc>
        <w:tc>
          <w:tcPr>
            <w:tcW w:type="dxa" w:w="25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Listado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Grupo CVLB (Casa &amp; Video)</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16.233.389</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Sim</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Grupo CVLB (entidade 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11.114.284</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Grupo Casas Bahia (Via S.A.)</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33.041.260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Sim</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Novo Mundo (entidade 1)</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13.530.973</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Novo Mundo (entidade 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01.534.080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Lojas Marisa S.A.</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61.189.288</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Sim</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Grupo Hinode</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17.086.101</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Pernambucanas</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61.099.834</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Ammo Varejo</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03.494.776</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Promoação</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44.154.079</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Pinheiro Tintas</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13.543.208</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Americanas S.A.</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00.776.574</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Sim</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Fast Shop</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43.708.379</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Satu Holding</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57.112.258</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St. Marche (Virtus)</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11.317.530</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Zinzane</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05.027.195</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Bodytech</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22.748.953</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Ri Happy</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58.731.662</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GPA (CBD)</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47.508.411</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Sim</w:t>
            </w:r>
          </w:p>
        </w:tc>
      </w:tr>
      <w:tr>
        <w:trPr>
          <w:tblHeader w:val="false"/>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Befly</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17.219.734</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Não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4CE" w:val="clear"/>
            <w:tcMar>
              <w:top w:type="dxa" w:w="120"/>
              <w:left w:type="dxa" w:w="200"/>
              <w:bottom w:type="dxa" w:w="120"/>
              <w:right w:type="dxa" w:w="200"/>
            </w:tcMar>
          </w:tcPr>
          <w:p>
            <w:r>
              <w:rPr>
                <w:b/>
                <w:bCs/>
                <w:color w:val="8B6914"/>
              </w:rPr>
              <w:t xml:space="preserve">Nota: </w:t>
            </w:r>
            <w:r>
              <w:t xml:space="preserve">Cinco devedores são listados na CVM e portanto cobertos por este canal (Casas Bahia, Marisa, Americanas, GPA e Casa &amp; Video). Os outros 15 são privados e não publicam IPE — o monitoramento desses ficará disponível via DataJud e DOU na Fase 2A.</w:t>
            </w:r>
          </w:p>
        </w:tc>
      </w:tr>
    </w:tbl>
    <w:p>
      <w:pPr>
        <w:pStyle w:val="Heading1"/>
        <w:spacing w:after="180" w:before="320"/>
      </w:pPr>
      <w:r>
        <w:rPr>
          <w:b/>
          <w:bCs/>
          <w:color w:val="2E75B6"/>
          <w:sz w:val="30"/>
          <w:szCs w:val="30"/>
        </w:rPr>
        <w:t xml:space="preserve">3. Como Funciona</w:t>
      </w:r>
    </w:p>
    <w:p>
      <w:pPr>
        <w:pStyle w:val="Heading2"/>
        <w:spacing w:after="120" w:before="220"/>
      </w:pPr>
      <w:r>
        <w:rPr>
          <w:b/>
          <w:bCs/>
          <w:color w:val="2E75B6"/>
          <w:sz w:val="24"/>
          <w:szCs w:val="24"/>
        </w:rPr>
        <w:t xml:space="preserve">3.1. Fluxo diário</w:t>
      </w:r>
    </w:p>
    <w:p>
      <w:pPr>
        <w:pStyle w:val="ListParagraph"/>
        <w:numPr>
          <w:ilvl w:val="0"/>
          <w:numId w:val="3"/>
        </w:numPr>
        <w:spacing w:after="80"/>
      </w:pPr>
      <w:r>
        <w:t xml:space="preserve">O GitHub Actions dispara o cron diariamente às 10h BRT (sem dependência de máquina local).</w:t>
      </w:r>
    </w:p>
    <w:p>
      <w:pPr>
        <w:pStyle w:val="ListParagraph"/>
        <w:numPr>
          <w:ilvl w:val="0"/>
          <w:numId w:val="3"/>
        </w:numPr>
        <w:spacing w:after="80"/>
      </w:pPr>
      <w:r>
        <w:t xml:space="preserve">Em paralelo, o monitor local roda a cada login do Windows da responsável.</w:t>
      </w:r>
    </w:p>
    <w:p>
      <w:pPr>
        <w:pStyle w:val="ListParagraph"/>
        <w:numPr>
          <w:ilvl w:val="0"/>
          <w:numId w:val="3"/>
        </w:numPr>
        <w:spacing w:after="80"/>
      </w:pPr>
      <w:r>
        <w:t xml:space="preserve">Ambos baixam o arquivo IPE anual da CVM em dados.cvm.gov.br (com retry e backoff exponencial).</w:t>
      </w:r>
    </w:p>
    <w:p>
      <w:pPr>
        <w:pStyle w:val="ListParagraph"/>
        <w:numPr>
          <w:ilvl w:val="0"/>
          <w:numId w:val="3"/>
        </w:numPr>
        <w:spacing w:after="80"/>
      </w:pPr>
      <w:r>
        <w:t xml:space="preserve">Filtram pelos CNPJs da watchlist (matching pela raiz de 8 dígitos — captura matriz e filiais).</w:t>
      </w:r>
    </w:p>
    <w:p>
      <w:pPr>
        <w:pStyle w:val="ListParagraph"/>
        <w:numPr>
          <w:ilvl w:val="0"/>
          <w:numId w:val="3"/>
        </w:numPr>
        <w:spacing w:after="80"/>
      </w:pPr>
      <w:r>
        <w:t xml:space="preserve">Filtram pelas categorias materiais: Fato Relevante, Comunicado ao Mercado, Aviso aos Acionistas, Assembleia, Calendário de Eventos Corporativos. Base regulatória: Resolução CVM 44/2021.</w:t>
      </w:r>
    </w:p>
    <w:p>
      <w:pPr>
        <w:pStyle w:val="ListParagraph"/>
        <w:numPr>
          <w:ilvl w:val="0"/>
          <w:numId w:val="3"/>
        </w:numPr>
        <w:spacing w:after="80"/>
      </w:pPr>
      <w:r>
        <w:t xml:space="preserve">Deduplicam por fingerprint SHA-256 (CNPJ + data + categoria + assunto).</w:t>
      </w:r>
    </w:p>
    <w:p>
      <w:pPr>
        <w:pStyle w:val="ListParagraph"/>
        <w:numPr>
          <w:ilvl w:val="0"/>
          <w:numId w:val="3"/>
        </w:numPr>
        <w:spacing w:after="80"/>
      </w:pPr>
      <w:r>
        <w:t xml:space="preserve">Persistem em CSV auditável + planilha Excel formatada em 02. Histórico/.</w:t>
      </w:r>
    </w:p>
    <w:p>
      <w:pPr>
        <w:pStyle w:val="ListParagraph"/>
        <w:numPr>
          <w:ilvl w:val="0"/>
          <w:numId w:val="3"/>
        </w:numPr>
        <w:spacing w:after="80"/>
      </w:pPr>
      <w:r>
        <w:t xml:space="preserve">Notificam: monitor local envia e-mail via Outlook; monitor cloud cria task no ClickUp na lista Alertas CVM Fatos Relevantes (que dispara e-mail automático aos assignees).</w:t>
      </w:r>
    </w:p>
    <w:p>
      <w:pPr>
        <w:pStyle w:val="ListParagraph"/>
        <w:numPr>
          <w:ilvl w:val="0"/>
          <w:numId w:val="3"/>
        </w:numPr>
        <w:spacing w:after="80"/>
      </w:pPr>
      <w:r>
        <w:t xml:space="preserve">O monitor cloud commita o estado atualizado de volta no próprio repositório, preservando histórico versionado.</w:t>
      </w:r>
    </w:p>
    <w:p>
      <w:pPr>
        <w:pStyle w:val="Heading2"/>
        <w:spacing w:after="120" w:before="220"/>
      </w:pPr>
      <w:r>
        <w:rPr>
          <w:b/>
          <w:bCs/>
          <w:color w:val="2E75B6"/>
          <w:sz w:val="24"/>
          <w:szCs w:val="24"/>
        </w:rPr>
        <w:t xml:space="preserve">3.2. Estrutura de pastas atualizada</w:t>
      </w:r>
    </w:p>
    <w:p>
      <w:pPr>
        <w:spacing w:after="120"/>
      </w:pPr>
      <w:r>
        <w:t xml:space="preserve">No OneDrive (camada local):</w:t>
      </w:r>
    </w:p>
    <w:p>
      <w:pPr>
        <w:shd w:fill="F2F2F2" w:val="clear"/>
        <w:spacing w:after="160" w:before="60"/>
      </w:pPr>
      <w:r>
        <w:rPr>
          <w:rFonts w:ascii="Consolas" w:cs="Consolas" w:eastAsia="Consolas" w:hAnsi="Consolas"/>
          <w:sz w:val="18"/>
          <w:szCs w:val="18"/>
        </w:rPr>
        <w:t xml:space="preserve">Monitoramento - Fatos Relevantes - Monitor/
  ├── 00. Relatório de Tarefa MVP/  (Word, PDF — entregáveis institucionais)
  ├── 01. Manual/                   (markdown — manuais operacionais)
  ├── 02. Histórico/                (planilha + CSV — fonte-verdade)
  ├── 03. LOCAL/                    (código do monitor que roda no PC)
  └── 04. MONITOR/                  (cópia de referência do que está no GitHub)</w:t>
      </w:r>
    </w:p>
    <w:p>
      <w:pPr>
        <w:spacing w:after="120"/>
      </w:pPr>
      <w:r>
        <w:t xml:space="preserve">No GitHub (organização Marvin):</w:t>
      </w:r>
    </w:p>
    <w:p>
      <w:pPr>
        <w:shd w:fill="F2F2F2" w:val="clear"/>
        <w:spacing w:after="160" w:before="60"/>
      </w:pPr>
      <w:r>
        <w:rPr>
          <w:rFonts w:ascii="Consolas" w:cs="Consolas" w:eastAsia="Consolas" w:hAnsi="Consolas"/>
          <w:sz w:val="18"/>
          <w:szCs w:val="18"/>
        </w:rPr>
        <w:t xml:space="preserve">github.com/marvin-monitoramento/marvin-cvm-fatos-relevantes/
  ├── 02. Histórico/                                 (planilha + CSV, atualizados pelo cron)
  ├── data/                                          (state interno: seen_events, last_run)
  ├── docs/                                          (PDF, Word, comunicação interna)
  ├── .github/workflows/daily.yml                    (cron 10h BRT)
  ├── monitor.py, watchlist.csv, requirements.txt    (código + config)
  ├── README.md, DEPLOY.md                           (operação)
  └── PROCEDIMENTO-Regeneracao-Token-ClickUp.md      (sucessão técnica)</w:t>
      </w:r>
    </w:p>
    <w:p>
      <w:pPr>
        <w:pStyle w:val="Heading1"/>
        <w:spacing w:after="180" w:before="320"/>
      </w:pPr>
      <w:r>
        <w:rPr>
          <w:b/>
          <w:bCs/>
          <w:color w:val="2E75B6"/>
          <w:sz w:val="30"/>
          <w:szCs w:val="30"/>
        </w:rPr>
        <w:t xml:space="preserve">4. Como Roda Sozinho</w:t>
      </w:r>
    </w:p>
    <w:p>
      <w:pPr>
        <w:pStyle w:val="Heading2"/>
        <w:spacing w:after="120" w:before="220"/>
      </w:pPr>
      <w:r>
        <w:rPr>
          <w:b/>
          <w:bCs/>
          <w:color w:val="2E75B6"/>
          <w:sz w:val="24"/>
          <w:szCs w:val="24"/>
        </w:rPr>
        <w:t xml:space="preserve">4.1. Camada cloud (recomendada como canal oficial)</w:t>
      </w:r>
    </w:p>
    <w:p>
      <w:pPr>
        <w:spacing w:after="120"/>
      </w:pPr>
      <w:r>
        <w:t xml:space="preserve">O monitor roda no GitHub Actions de forma totalmente autônoma. Não depende de máquina local ligada, não depende de aplicativos abertos. O cron foi configurado em horário fixo (10h BRT diariamente).</w:t>
      </w:r>
    </w:p>
    <w:p>
      <w:pPr>
        <w:spacing w:after="120"/>
      </w:pPr>
      <w:r>
        <w:t xml:space="preserve">Disparo automático: cron '0 13 * * *' (13h UTC = 10h BRT). Disparo manual: aba Actions → Run workflow.</w:t>
      </w:r>
    </w:p>
    <w:p>
      <w:pPr>
        <w:pStyle w:val="Heading2"/>
        <w:spacing w:after="120" w:before="220"/>
      </w:pPr>
      <w:r>
        <w:rPr>
          <w:b/>
          <w:bCs/>
          <w:color w:val="2E75B6"/>
          <w:sz w:val="24"/>
          <w:szCs w:val="24"/>
        </w:rPr>
        <w:t xml:space="preserve">4.2. Camada local (redundância)</w:t>
      </w:r>
    </w:p>
    <w:p>
      <w:pPr>
        <w:spacing w:after="120"/>
      </w:pPr>
      <w:r>
        <w:t xml:space="preserve">O monitor local roda na máquina da responsável a cada login do Windows, via atalho na Pasta de Inicialização. Esta camada fica como redundância pessoal — se o cloud falhar por qualquer motivo, o local continua registrando histórico. A pasta também serve como espaço de trabalho da responsável (testes locais).</w:t>
      </w:r>
    </w:p>
    <w:p>
      <w:pPr>
        <w:pStyle w:val="Heading2"/>
        <w:spacing w:after="120" w:before="220"/>
      </w:pPr>
      <w:r>
        <w:rPr>
          <w:b/>
          <w:bCs/>
          <w:color w:val="2E75B6"/>
          <w:sz w:val="24"/>
          <w:szCs w:val="24"/>
        </w:rPr>
        <w:t xml:space="preserve">4.3. O que precisa estar rodando</w:t>
      </w:r>
    </w:p>
    <w:p>
      <w:pPr>
        <w:pStyle w:val="ListParagraph"/>
        <w:numPr>
          <w:ilvl w:val="0"/>
          <w:numId w:val="2"/>
        </w:numPr>
        <w:spacing w:after="80"/>
      </w:pPr>
      <w:r>
        <w:t xml:space="preserve">Cloud (canal oficial): nada — sistema 100% autônomo no servidor do GitHub.</w:t>
      </w:r>
    </w:p>
    <w:p>
      <w:pPr>
        <w:pStyle w:val="ListParagraph"/>
        <w:numPr>
          <w:ilvl w:val="0"/>
          <w:numId w:val="2"/>
        </w:numPr>
        <w:spacing w:after="80"/>
      </w:pPr>
      <w:r>
        <w:t xml:space="preserve">Local (redundância): computador da responsável ligado, logado no Windows, Outlook aberto.</w:t>
      </w:r>
    </w:p>
    <w:p>
      <w:pPr>
        <w:pStyle w:val="Heading1"/>
        <w:spacing w:after="180" w:before="320"/>
      </w:pPr>
      <w:r>
        <w:rPr>
          <w:b/>
          <w:bCs/>
          <w:color w:val="2E75B6"/>
          <w:sz w:val="30"/>
          <w:szCs w:val="30"/>
        </w:rPr>
        <w:t xml:space="preserve">5. Plano de Sucessão</w:t>
      </w:r>
    </w:p>
    <w:p>
      <w:pPr>
        <w:spacing w:after="120"/>
      </w:pPr>
      <w:r>
        <w:t xml:space="preserve">Esta seção descreve como manter o monitoramento operacional caso a responsável atual saia da Marvin, seja por troca de função, licença ou desligamento. A maior parte dos riscos de continuidade foi mitigada pela transferência do repositório para a organização Marvin e pela documentação institucional do procedimento de regeneração do token ClickUp.</w:t>
      </w:r>
    </w:p>
    <w:p>
      <w:pPr>
        <w:pStyle w:val="Heading2"/>
        <w:spacing w:after="120" w:before="220"/>
      </w:pPr>
      <w:r>
        <w:rPr>
          <w:b/>
          <w:bCs/>
          <w:color w:val="2E75B6"/>
          <w:sz w:val="24"/>
          <w:szCs w:val="24"/>
        </w:rPr>
        <w:t xml:space="preserve">5.1. Cenário 1: Saída programada</w:t>
      </w:r>
    </w:p>
    <w:p>
      <w:pPr>
        <w:pStyle w:val="ListParagraph"/>
        <w:numPr>
          <w:ilvl w:val="0"/>
          <w:numId w:val="3"/>
        </w:numPr>
        <w:spacing w:after="80"/>
      </w:pPr>
      <w:r>
        <w:t xml:space="preserve">Identificar o substituto, idealmente alguém do time de Risco.</w:t>
      </w:r>
    </w:p>
    <w:p>
      <w:pPr>
        <w:pStyle w:val="ListParagraph"/>
        <w:numPr>
          <w:ilvl w:val="0"/>
          <w:numId w:val="3"/>
        </w:numPr>
        <w:spacing w:after="80"/>
      </w:pPr>
      <w:r>
        <w:t xml:space="preserve">Adicionar o substituto como Admin do repositório (Settings → Collaborators).</w:t>
      </w:r>
    </w:p>
    <w:p>
      <w:pPr>
        <w:pStyle w:val="ListParagraph"/>
        <w:numPr>
          <w:ilvl w:val="0"/>
          <w:numId w:val="3"/>
        </w:numPr>
        <w:spacing w:after="80"/>
      </w:pPr>
      <w:r>
        <w:t xml:space="preserve">Executar o procedimento de regeneração do token ClickUp (10 minutos, ver PROCEDIMENTO-Regeneracao-Token-ClickUp.md).</w:t>
      </w:r>
    </w:p>
    <w:p>
      <w:pPr>
        <w:pStyle w:val="ListParagraph"/>
        <w:numPr>
          <w:ilvl w:val="0"/>
          <w:numId w:val="3"/>
        </w:numPr>
        <w:spacing w:after="80"/>
      </w:pPr>
      <w:r>
        <w:t xml:space="preserve">Atualizar o CLICKUP_ASSIGNEE_IDS no GitHub para apontar para o novo destinatário das tasks.</w:t>
      </w:r>
    </w:p>
    <w:p>
      <w:pPr>
        <w:pStyle w:val="ListParagraph"/>
        <w:numPr>
          <w:ilvl w:val="0"/>
          <w:numId w:val="3"/>
        </w:numPr>
        <w:spacing w:after="80"/>
      </w:pPr>
      <w:r>
        <w:t xml:space="preserve">Atualizar o EMAIL_TO no monitor.py local (se manter a camada local em uso).</w:t>
      </w:r>
    </w:p>
    <w:p>
      <w:pPr>
        <w:pStyle w:val="ListParagraph"/>
        <w:numPr>
          <w:ilvl w:val="0"/>
          <w:numId w:val="3"/>
        </w:numPr>
        <w:spacing w:after="80"/>
      </w:pPr>
      <w:r>
        <w:t xml:space="preserve">Realizar um run manual no GitHub Actions para validar.</w:t>
      </w:r>
    </w:p>
    <w:p>
      <w:pPr>
        <w:pStyle w:val="Heading2"/>
        <w:spacing w:after="120" w:before="220"/>
      </w:pPr>
      <w:r>
        <w:rPr>
          <w:b/>
          <w:bCs/>
          <w:color w:val="2E75B6"/>
          <w:sz w:val="24"/>
          <w:szCs w:val="24"/>
        </w:rPr>
        <w:t xml:space="preserve">5.2. Cenário 2: Saída imediata ou emergencial</w:t>
      </w:r>
    </w:p>
    <w:p>
      <w:pPr>
        <w:spacing w:after="120"/>
      </w:pPr>
      <w:r>
        <w:t xml:space="preserve">Como o repositório vive na organização Marvin, ele não some quando uma pessoa específica deixa a empresa. O TI da Marvin (ou qualquer membro com permissão de Admin na organização) pode promover um novo responsável imediatamente e seguir o procedimento de regeneração do token.</w:t>
      </w:r>
    </w:p>
    <w:p>
      <w:pPr>
        <w:pStyle w:val="ListParagraph"/>
        <w:numPr>
          <w:ilvl w:val="0"/>
          <w:numId w:val="3"/>
        </w:numPr>
        <w:spacing w:after="80"/>
      </w:pPr>
      <w:r>
        <w:t xml:space="preserve">Admin da organização adiciona o novo responsável como Admin do repositório.</w:t>
      </w:r>
    </w:p>
    <w:p>
      <w:pPr>
        <w:pStyle w:val="ListParagraph"/>
        <w:numPr>
          <w:ilvl w:val="0"/>
          <w:numId w:val="3"/>
        </w:numPr>
        <w:spacing w:after="80"/>
      </w:pPr>
      <w:r>
        <w:t xml:space="preserve">Novo responsável segue o procedimento de regeneração do token.</w:t>
      </w:r>
    </w:p>
    <w:p>
      <w:pPr>
        <w:pStyle w:val="ListParagraph"/>
        <w:numPr>
          <w:ilvl w:val="0"/>
          <w:numId w:val="3"/>
        </w:numPr>
        <w:spacing w:after="80"/>
      </w:pPr>
      <w:r>
        <w:t xml:space="preserve">Sistema continua operando, com no máximo um dia de gap (se a regeneração for feita após o cron diário).</w:t>
      </w:r>
    </w:p>
    <w:p>
      <w:pPr>
        <w:pStyle w:val="Heading2"/>
        <w:spacing w:after="120" w:before="220"/>
      </w:pPr>
      <w:r>
        <w:rPr>
          <w:b/>
          <w:bCs/>
          <w:color w:val="2E75B6"/>
          <w:sz w:val="24"/>
          <w:szCs w:val="24"/>
        </w:rPr>
        <w:t xml:space="preserve">5.3. Cenário 3: Mudança de máquina</w:t>
      </w:r>
    </w:p>
    <w:p>
      <w:pPr>
        <w:spacing w:after="120"/>
      </w:pPr>
      <w:r>
        <w:t xml:space="preserve">Para migrar a camada local para uma máquina diferente, basta clonar o repositório do GitHub Desktop, configurar o atalho da Pasta de Inicialização e instalar as dependências Python. A camada cloud continua funcionando sem qualquer impacto.</w:t>
      </w:r>
    </w:p>
    <w:p>
      <w:pPr>
        <w:pStyle w:val="Heading2"/>
        <w:spacing w:after="120" w:before="220"/>
      </w:pPr>
      <w:r>
        <w:rPr>
          <w:b/>
          <w:bCs/>
          <w:color w:val="2E75B6"/>
          <w:sz w:val="24"/>
          <w:szCs w:val="24"/>
        </w:rPr>
        <w:t xml:space="preserve">5.4. Tornar 100% autônomo: já feito</w:t>
      </w:r>
    </w:p>
    <w:p>
      <w:pPr>
        <w:spacing w:after="120"/>
      </w:pPr>
      <w:r>
        <w:t xml:space="preserve">A camada cloud no GitHub Actions já elimina a dependência de máquina local. O canal oficial é o ClickUp (via task gerada pelo cron). O monitor local foi mantido apenas como redundância e ferramenta pessoal da responsável.</w:t>
      </w:r>
    </w:p>
    <w:p>
      <w:pPr>
        <w:pStyle w:val="Heading1"/>
        <w:spacing w:after="180" w:before="320"/>
      </w:pPr>
      <w:r>
        <w:rPr>
          <w:b/>
          <w:bCs/>
          <w:color w:val="2E75B6"/>
          <w:sz w:val="30"/>
          <w:szCs w:val="30"/>
        </w:rPr>
        <w:t xml:space="preserve">6. Roadmap de Evoluções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Fase</w:t>
            </w:r>
          </w:p>
        </w:tc>
        <w:tc>
          <w:tcPr>
            <w:tcW w:type="dxa" w:w="58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Escopo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18"/>
                <w:szCs w:val="18"/>
              </w:rPr>
              <w:t xml:space="preserve">Esforço estimado</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Concluída</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MVP local + cloud, com ClickUp e documentação institucional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Concluído</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Em andamento</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Comunicação interna, expansão de destinatários, governança formal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 a 2 semanas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Fase 2A</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Cobertura de devedores privados via DataJud (CNJ) e DOU (Imprensa Nacional)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a 4 semanas eng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Fase 2B (opcional)</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Classificação refinada via LLM (Claude Haiku ou GPT-4o-mini), sem juízo binário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a 5 dias eng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Fase 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Dashboard cliente-facing: eventos do devedor lado a lado com o ICG no widget do credor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a 4 semanas eng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Fase 3 estendida</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Integração com bureau (Serasa, Boa Vista) para situação cadastral em tempo real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Negociação contratual</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Fase 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Modelo preditivo combinando sinal externo (este) + interno (volume transacional proprietário)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Ciclo de pesquisa</w:t>
            </w:r>
          </w:p>
        </w:tc>
      </w:tr>
    </w:tbl>
    <w:p>
      <w:pPr>
        <w:pStyle w:val="Heading1"/>
        <w:spacing w:after="180" w:before="320"/>
      </w:pPr>
      <w:r>
        <w:rPr>
          <w:b/>
          <w:bCs/>
          <w:color w:val="2E75B6"/>
          <w:sz w:val="30"/>
          <w:szCs w:val="30"/>
        </w:rPr>
        <w:t xml:space="preserve">7. Anexos</w:t>
      </w:r>
    </w:p>
    <w:p>
      <w:pPr>
        <w:pStyle w:val="Heading2"/>
        <w:spacing w:after="120" w:before="220"/>
      </w:pPr>
      <w:r>
        <w:rPr>
          <w:b/>
          <w:bCs/>
          <w:color w:val="2E75B6"/>
          <w:sz w:val="24"/>
          <w:szCs w:val="24"/>
        </w:rPr>
        <w:t xml:space="preserve">7.1. Comandos úteis</w:t>
      </w:r>
    </w:p>
    <w:p>
      <w:pPr>
        <w:spacing w:after="120"/>
      </w:pPr>
      <w:r>
        <w:t xml:space="preserve">Rodar manualmente o monitor local (sem enviar e-mail):</w:t>
      </w:r>
    </w:p>
    <w:p>
      <w:pPr>
        <w:shd w:fill="F2F2F2" w:val="clear"/>
        <w:spacing w:after="160" w:before="60"/>
      </w:pPr>
      <w:r>
        <w:rPr>
          <w:rFonts w:ascii="Consolas" w:cs="Consolas" w:eastAsia="Consolas" w:hAnsi="Consolas"/>
          <w:sz w:val="18"/>
          <w:szCs w:val="18"/>
        </w:rPr>
        <w:t xml:space="preserve">python monitor.py --test</w:t>
      </w:r>
    </w:p>
    <w:p>
      <w:pPr>
        <w:spacing w:after="120"/>
      </w:pPr>
      <w:r>
        <w:t xml:space="preserve">Rodar manualmente com e-mail:</w:t>
      </w:r>
    </w:p>
    <w:p>
      <w:pPr>
        <w:shd w:fill="F2F2F2" w:val="clear"/>
        <w:spacing w:after="160" w:before="60"/>
      </w:pPr>
      <w:r>
        <w:rPr>
          <w:rFonts w:ascii="Consolas" w:cs="Consolas" w:eastAsia="Consolas" w:hAnsi="Consolas"/>
          <w:sz w:val="18"/>
          <w:szCs w:val="18"/>
        </w:rPr>
        <w:t xml:space="preserve">python monitor.py --lookback 10</w:t>
      </w:r>
    </w:p>
    <w:p>
      <w:pPr>
        <w:spacing w:after="120"/>
      </w:pPr>
      <w:r>
        <w:t xml:space="preserve">Backfill inicial (60 dias para popular histórico):</w:t>
      </w:r>
    </w:p>
    <w:p>
      <w:pPr>
        <w:shd w:fill="F2F2F2" w:val="clear"/>
        <w:spacing w:after="160" w:before="60"/>
      </w:pPr>
      <w:r>
        <w:rPr>
          <w:rFonts w:ascii="Consolas" w:cs="Consolas" w:eastAsia="Consolas" w:hAnsi="Consolas"/>
          <w:sz w:val="18"/>
          <w:szCs w:val="18"/>
        </w:rPr>
        <w:t xml:space="preserve">python monitor.py --lookback 60</w:t>
      </w:r>
    </w:p>
    <w:p>
      <w:pPr>
        <w:spacing w:after="120"/>
      </w:pPr>
      <w:r>
        <w:t xml:space="preserve">Reinstalar dependências:</w:t>
      </w:r>
    </w:p>
    <w:p>
      <w:pPr>
        <w:shd w:fill="F2F2F2" w:val="clear"/>
        <w:spacing w:after="160" w:before="60"/>
      </w:pPr>
      <w:r>
        <w:rPr>
          <w:rFonts w:ascii="Consolas" w:cs="Consolas" w:eastAsia="Consolas" w:hAnsi="Consolas"/>
          <w:sz w:val="18"/>
          <w:szCs w:val="18"/>
        </w:rPr>
        <w:t xml:space="preserve">python -m pip install -r requirements.txt</w:t>
      </w:r>
    </w:p>
    <w:p>
      <w:pPr>
        <w:pStyle w:val="Heading2"/>
        <w:spacing w:after="120" w:before="220"/>
      </w:pPr>
      <w:r>
        <w:rPr>
          <w:b/>
          <w:bCs/>
          <w:color w:val="2E75B6"/>
          <w:sz w:val="24"/>
          <w:szCs w:val="24"/>
        </w:rPr>
        <w:t xml:space="preserve">7.2. Documentação relacionada</w:t>
      </w:r>
    </w:p>
    <w:p>
      <w:pPr>
        <w:pStyle w:val="ListParagraph"/>
        <w:numPr>
          <w:ilvl w:val="0"/>
          <w:numId w:val="2"/>
        </w:numPr>
        <w:spacing w:after="80"/>
      </w:pPr>
      <w:r>
        <w:t xml:space="preserve">Manual técnico (padrão Marvin): docs/2026.04.24 - Monitoramento Automatico - Fatos Relevantes CVM.pdf</w:t>
      </w:r>
    </w:p>
    <w:p>
      <w:pPr>
        <w:pStyle w:val="ListParagraph"/>
        <w:numPr>
          <w:ilvl w:val="0"/>
          <w:numId w:val="2"/>
        </w:numPr>
        <w:spacing w:after="80"/>
      </w:pPr>
      <w:r>
        <w:t xml:space="preserve">Working Plan da implementação institucional: docs/Working Plan - Monitoramento CVM Fatos Relevantes.docx</w:t>
      </w:r>
    </w:p>
    <w:p>
      <w:pPr>
        <w:pStyle w:val="ListParagraph"/>
        <w:numPr>
          <w:ilvl w:val="0"/>
          <w:numId w:val="2"/>
        </w:numPr>
        <w:spacing w:after="80"/>
      </w:pPr>
      <w:r>
        <w:t xml:space="preserve">Procedimento de regeneração do token ClickUp: PROCEDIMENTO-Regeneracao-Token-ClickUp.md</w:t>
      </w:r>
    </w:p>
    <w:p>
      <w:pPr>
        <w:pStyle w:val="ListParagraph"/>
        <w:numPr>
          <w:ilvl w:val="0"/>
          <w:numId w:val="2"/>
        </w:numPr>
        <w:spacing w:after="80"/>
      </w:pPr>
      <w:r>
        <w:t xml:space="preserve">Modelo de comunicação interna: docs/COMUNICACAO-Interna-Anuncio-Canal.md</w:t>
      </w:r>
    </w:p>
    <w:p>
      <w:pPr>
        <w:pStyle w:val="ListParagraph"/>
        <w:numPr>
          <w:ilvl w:val="0"/>
          <w:numId w:val="2"/>
        </w:numPr>
        <w:spacing w:after="80"/>
      </w:pPr>
      <w:r>
        <w:t xml:space="preserve">Manuais técnicos dos outros monitoramentos Marvin (Poderes, JUCESP, Ratings) — pasta superior.</w:t>
      </w:r>
    </w:p>
    <w:p>
      <w:pPr>
        <w:pStyle w:val="Heading2"/>
        <w:spacing w:after="120" w:before="220"/>
      </w:pPr>
      <w:r>
        <w:rPr>
          <w:b/>
          <w:bCs/>
          <w:color w:val="2E75B6"/>
          <w:sz w:val="24"/>
          <w:szCs w:val="24"/>
        </w:rPr>
        <w:t xml:space="preserve">7.3. Referências regulatórias e técnicas</w:t>
      </w:r>
    </w:p>
    <w:p>
      <w:pPr>
        <w:pStyle w:val="ListParagraph"/>
        <w:numPr>
          <w:ilvl w:val="0"/>
          <w:numId w:val="2"/>
        </w:numPr>
        <w:spacing w:after="80"/>
      </w:pPr>
      <w:r>
        <w:t xml:space="preserve">Resolução CVM 44/2021 — define o que é Fato Relevante e a obrigação de divulgação.</w:t>
      </w:r>
    </w:p>
    <w:p>
      <w:pPr>
        <w:pStyle w:val="ListParagraph"/>
        <w:numPr>
          <w:ilvl w:val="0"/>
          <w:numId w:val="2"/>
        </w:numPr>
        <w:spacing w:after="80"/>
      </w:pPr>
      <w:r>
        <w:t xml:space="preserve">Portal de Dados Abertos da CVM: dados.cvm.gov.br</w:t>
      </w:r>
    </w:p>
    <w:p>
      <w:pPr>
        <w:pStyle w:val="ListParagraph"/>
        <w:numPr>
          <w:ilvl w:val="0"/>
          <w:numId w:val="2"/>
        </w:numPr>
        <w:spacing w:after="80"/>
      </w:pPr>
      <w:r>
        <w:t xml:space="preserve">Sistema RAD (Recebimento de Documentos) da CVM: www.rad.cvm.gov.br</w:t>
      </w:r>
    </w:p>
    <w:p>
      <w:pPr>
        <w:pStyle w:val="ListParagraph"/>
        <w:numPr>
          <w:ilvl w:val="0"/>
          <w:numId w:val="2"/>
        </w:numPr>
        <w:spacing w:after="80"/>
      </w:pPr>
      <w:r>
        <w:t xml:space="preserve">Repositório do projeto: github.com/marvin-monitoramento/marvin-cvm-fatos-relevantes</w:t>
      </w:r>
    </w:p>
    <w:p>
      <w:pPr>
        <w:pStyle w:val="Heading2"/>
        <w:spacing w:after="120" w:before="220"/>
      </w:pPr>
      <w:r>
        <w:rPr>
          <w:b/>
          <w:bCs/>
          <w:color w:val="2E75B6"/>
          <w:sz w:val="24"/>
          <w:szCs w:val="24"/>
        </w:rPr>
        <w:t xml:space="preserve">7.4. Decisões editoriais registradas</w:t>
      </w:r>
    </w:p>
    <w:p>
      <w:pPr>
        <w:pStyle w:val="ListParagraph"/>
        <w:numPr>
          <w:ilvl w:val="0"/>
          <w:numId w:val="2"/>
        </w:numPr>
        <w:spacing w:after="80"/>
      </w:pPr>
      <w:r>
        <w:t xml:space="preserve">Materialidade removida das saídas visíveis: a critério da responsável, para evitar viés interpretativo automatizado. Decisão tomada em Maio/2026 após observação de que classificações binárias podem tirar a leitura crítica de cada caso.</w:t>
      </w:r>
    </w:p>
    <w:p>
      <w:pPr>
        <w:pStyle w:val="ListParagraph"/>
        <w:numPr>
          <w:ilvl w:val="0"/>
          <w:numId w:val="2"/>
        </w:numPr>
        <w:spacing w:after="80"/>
      </w:pPr>
      <w:r>
        <w:t xml:space="preserve">Matching por raiz de CNPJ: captura matriz e filiais com a mesma regra, sem necessidade de manter mapa explícito.</w:t>
      </w:r>
    </w:p>
    <w:p>
      <w:pPr>
        <w:pStyle w:val="ListParagraph"/>
        <w:numPr>
          <w:ilvl w:val="0"/>
          <w:numId w:val="2"/>
        </w:numPr>
        <w:spacing w:after="80"/>
      </w:pPr>
      <w:r>
        <w:t xml:space="preserve">Dedup por fingerprint SHA-256: escolhido pela estabilidade a pequenas variações de formatação e robustez a sobreposição de janelas.</w:t>
      </w:r>
    </w:p>
    <w:p>
      <w:pPr>
        <w:pStyle w:val="ListParagraph"/>
        <w:numPr>
          <w:ilvl w:val="0"/>
          <w:numId w:val="2"/>
        </w:numPr>
        <w:spacing w:after="80"/>
      </w:pPr>
      <w:r>
        <w:t xml:space="preserve">Lookback padrão de 10 dias: compromisso entre cobertura (dias perdidos por falha) e custo (volume de processamento).</w:t>
      </w:r>
    </w:p>
    <w:p>
      <w:pPr>
        <w:pStyle w:val="ListParagraph"/>
        <w:numPr>
          <w:ilvl w:val="0"/>
          <w:numId w:val="2"/>
        </w:numPr>
        <w:spacing w:after="80"/>
      </w:pPr>
      <w:r>
        <w:t xml:space="preserve">Notificação via Outlook (local) e ClickUp (cloud): escolhidas por simplicidade — sem dependência de SMTP, sem necessidade de App Password.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MVP v1.1 - Monitoramento Fatos Relevantes CVM</dc:title>
  <dc:creator>Marvin - Maria Vitória Pavan</dc:creator>
  <dc:description>Relatório atualizado com mudanças de Maio/2026</dc:description>
  <cp:lastModifiedBy>Un-named</cp:lastModifiedBy>
  <cp:revision>1</cp:revision>
  <dcterms:created xsi:type="dcterms:W3CDTF">2026-05-28T18:42:08.395Z</dcterms:created>
  <dcterms:modified xsi:type="dcterms:W3CDTF">2026-05-28T18:42:08.396Z</dcterms:modified>
</cp:coreProperties>
</file>

<file path=docProps/custom.xml><?xml version="1.0" encoding="utf-8"?>
<Properties xmlns="http://schemas.openxmlformats.org/officeDocument/2006/custom-properties" xmlns:vt="http://schemas.openxmlformats.org/officeDocument/2006/docPropsVTypes"/>
</file>