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color w:val="1F3864"/>
          <w:sz w:val="44"/>
          <w:szCs w:val="44"/>
        </w:rPr>
        <w:t xml:space="preserve">Working Plan</w:t>
      </w:r>
    </w:p>
    <w:p>
      <w:pPr>
        <w:spacing w:after="100"/>
        <w:jc w:val="center"/>
      </w:pPr>
      <w:r>
        <w:rPr>
          <w:b/>
          <w:bCs/>
          <w:color w:val="2E75B6"/>
          <w:sz w:val="28"/>
          <w:szCs w:val="28"/>
        </w:rPr>
        <w:t xml:space="preserve">Implementação Institucional — Monitoramento CVM Fatos Relevantes</w:t>
      </w:r>
    </w:p>
    <w:p>
      <w:pPr>
        <w:spacing w:after="600"/>
        <w:jc w:val="center"/>
      </w:pPr>
      <w:r>
        <w:rPr>
          <w:i/>
          <w:iCs/>
          <w:sz w:val="22"/>
          <w:szCs w:val="22"/>
        </w:rPr>
        <w:t xml:space="preserve">Plano de transição da ferramenta individual para operação institucional, com distribuição ampliada e governança definida</w:t>
      </w:r>
    </w:p>
    <w:p>
      <w:pPr>
        <w:spacing w:after="80"/>
        <w:jc w:val="center"/>
      </w:pPr>
      <w:r>
        <w:rPr>
          <w:sz w:val="22"/>
          <w:szCs w:val="22"/>
        </w:rPr>
        <w:t xml:space="preserve">Owner: Maria Vitória Pavan (Risco)</w:t>
      </w:r>
    </w:p>
    <w:p>
      <w:pPr>
        <w:spacing w:after="80"/>
        <w:jc w:val="center"/>
      </w:pPr>
      <w:r>
        <w:rPr>
          <w:sz w:val="22"/>
          <w:szCs w:val="22"/>
        </w:rPr>
        <w:t xml:space="preserve">Versão 2.0 — Maio 2026 (atualizada)</w:t>
      </w:r>
    </w:p>
    <w:p>
      <w:pPr>
        <w:spacing w:after="80"/>
        <w:jc w:val="center"/>
      </w:pPr>
      <w:r>
        <w:rPr>
          <w:color w:val="555555"/>
          <w:sz w:val="18"/>
          <w:szCs w:val="18"/>
        </w:rPr>
        <w:t xml:space="preserve">Repositório: github.com/marvin-monitoramento/marvin-cvm-fatos-relevantes</w:t>
      </w:r>
    </w:p>
    <w:p>
      <w:r>
        <w:br w:type="page"/>
      </w:r>
    </w:p>
    <w:p>
      <w:pPr>
        <w:pStyle w:val="Heading1"/>
        <w:spacing w:after="180" w:before="320"/>
      </w:pPr>
      <w:r>
        <w:rPr>
          <w:b/>
          <w:bCs/>
          <w:color w:val="2E75B6"/>
          <w:sz w:val="30"/>
          <w:szCs w:val="30"/>
        </w:rPr>
        <w:t xml:space="preserve">Sumário Executivo</w:t>
      </w:r>
    </w:p>
    <w:p>
      <w:pPr>
        <w:spacing w:after="120"/>
      </w:pPr>
      <w:r>
        <w:t xml:space="preserve">O monitor de Fatos Relevantes da CVM está operacional em duas camadas redundantes — execução cloud via GitHub Actions e execução local na máquina da responsável. Notificações chegam por task no ClickUp e por e-mail via Outlook. O sistema cobre hoje 20 devedores da carteira, com cinco listados na CVM (Casas Bahia, Marisa, Americanas, GPA e Casa &amp; Video), detectando eventos materiais em D+1.</w:t>
      </w:r>
    </w:p>
    <w:p>
      <w:pPr>
        <w:spacing w:after="120"/>
      </w:pPr>
      <w:r>
        <w:t xml:space="preserve">Este plano descreve a transição do status "ferramenta individual" para "operação institucional da Marvin", com governança definida, evoluções planejadas e distribuição ampliada. Esta versão 2.0 já incorpora os avanços feitos em Maio/2026: transferência do repositório para a organização Marvin no GitHub, documentação do procedimento de regeneração do token ClickUp, reorganização da estrutura de pastas e remoção da classificação automática de materialidade das saídas visíveis.</w:t>
      </w:r>
    </w:p>
    <w:p>
      <w:pPr>
        <w:pStyle w:val="Heading2"/>
        <w:spacing w:after="120" w:before="220"/>
      </w:pPr>
      <w:r>
        <w:rPr>
          <w:b/>
          <w:bCs/>
          <w:color w:val="2E75B6"/>
          <w:sz w:val="24"/>
          <w:szCs w:val="24"/>
        </w:rPr>
        <w:t xml:space="preserve">Marcos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2000"/>
        <w:gridCol w:w="1560"/>
      </w:tblGrid>
      <w:tr>
        <w:trPr>
          <w:tblHeader/>
        </w:trPr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Marco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Transferência do repositório para a organização Marvin no GitHub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Semana 1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Concluído</w:t>
            </w:r>
          </w:p>
        </w:tc>
      </w:tr>
      <w:tr>
        <w:trPr>
          <w:tblHeader w:val="false"/>
        </w:trPr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Procedimento institucional de regeneração do token ClickUp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Semana 1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Concluído</w:t>
            </w:r>
          </w:p>
        </w:tc>
      </w:tr>
      <w:tr>
        <w:trPr>
          <w:tblHeader w:val="false"/>
        </w:trPr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Comunicação interna do novo canal oficial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Semana 2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Modelo pronto</w:t>
            </w:r>
          </w:p>
        </w:tc>
      </w:tr>
      <w:tr>
        <w:trPr>
          <w:tblHeader w:val="false"/>
        </w:trPr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Distribuição ampliada (e-mail + ClickUp para o time de Risco)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Semana 2-3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 curso</w:t>
            </w:r>
          </w:p>
        </w:tc>
      </w:tr>
      <w:tr>
        <w:trPr>
          <w:tblHeader w:val="false"/>
        </w:trPr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Backup operacional treinado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definir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Adiado por decisão</w:t>
            </w:r>
          </w:p>
        </w:tc>
      </w:tr>
      <w:tr>
        <w:trPr>
          <w:tblHeader w:val="false"/>
        </w:trPr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Fase 2A — DataJud para devedores privados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Mês 3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Planejado</w:t>
            </w:r>
          </w:p>
        </w:tc>
      </w:tr>
      <w:tr>
        <w:trPr>
          <w:tblHeader w:val="false"/>
        </w:trPr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Fase 2B — Classificação refinada por LLM (se reativada)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Mês 4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Planejado</w:t>
            </w:r>
          </w:p>
        </w:tc>
      </w:tr>
      <w:tr>
        <w:trPr>
          <w:tblHeader w:val="false"/>
        </w:trPr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Fase 3 — Widget cliente-facing no dashboard do credor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Mês 6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Planejado</w:t>
            </w:r>
          </w:p>
        </w:tc>
      </w:tr>
    </w:tbl>
    <w:p>
      <w:pPr>
        <w:pStyle w:val="Heading1"/>
        <w:spacing w:after="180" w:before="320"/>
      </w:pPr>
      <w:r>
        <w:rPr>
          <w:b/>
          <w:bCs/>
          <w:color w:val="2E75B6"/>
          <w:sz w:val="30"/>
          <w:szCs w:val="30"/>
        </w:rPr>
        <w:t xml:space="preserve">1. Estado Atual</w:t>
      </w:r>
    </w:p>
    <w:p>
      <w:pPr>
        <w:spacing w:after="120"/>
      </w:pPr>
      <w:r>
        <w:t xml:space="preserve">O sistema entregue tem duas camadas operando em paralelo, garantindo redundância (cinto + suspensórios). Ambas atualizam um histórico versionado e auditável, distribuído entre OneDrive (camada local) e Git (camada cloud).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00"/>
        <w:gridCol w:w="2700"/>
        <w:gridCol w:w="1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Notificação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Monitor local (Windows)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 do Windows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E-mail via Outlook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Operacional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Monitor cloud (GitHub Actions)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Cron diário 10h BRT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Task no ClickUp + e-mail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Operacional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Cobertura atual da carteira: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Total de devedores monitorados: 20.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Listados na CVM (com cobertura via IPE): 5 — Casas Bahia (Via S.A.), Marisa, Americanas, GPA (CBD) e Casa &amp; Video (CVLB).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Privados (sem cobertura via IPE): 15 — Pernambucanas, Fast Shop, Bodytech, Novo Mundo, Ri Happy, entre outros. Cobertos na Fase 2A.</w:t>
      </w:r>
    </w:p>
    <w:p>
      <w:pPr>
        <w:pStyle w:val="Heading2"/>
        <w:spacing w:after="120" w:before="220"/>
      </w:pPr>
      <w:r>
        <w:rPr>
          <w:b/>
          <w:bCs/>
          <w:color w:val="2E75B6"/>
          <w:sz w:val="24"/>
          <w:szCs w:val="24"/>
        </w:rPr>
        <w:t xml:space="preserve">Estrutura organizacional do projeto</w:t>
      </w:r>
    </w:p>
    <w:p>
      <w:pPr>
        <w:spacing w:after="120"/>
      </w:pPr>
      <w:r>
        <w:t xml:space="preserve">A pasta do projeto no OneDrive está organizada da seguinte forma:</w:t>
      </w:r>
    </w:p>
    <w:p>
      <w:pPr>
        <w:shd w:fill="F2F2F2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Monitoramento - Fatos Relevantes - Monitor/
  ├── 00. Relatório de Tarefa MVP/  (Word, PDF — entregáveis institucionais)
  ├── 01. Manual/                   (markdown — manuais operacionais)
  ├── 02. Histórico/                (planilhas — fonte-verdade auditável)
  ├── 03. LOCAL/                    (código do monitor que roda no PC)
  └── 04. MONITOR/                  (cópia de referência do que está no GitHub)</w:t>
      </w:r>
    </w:p>
    <w:p>
      <w:pPr>
        <w:spacing w:after="120"/>
      </w:pPr>
      <w:r>
        <w:t xml:space="preserve">No GitHub (na organização Marvin):</w:t>
      </w:r>
    </w:p>
    <w:p>
      <w:pPr>
        <w:shd w:fill="F2F2F2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github.com/marvin-monitoramento/marvin-cvm-fatos-relevantes</w:t>
      </w:r>
    </w:p>
    <w:p>
      <w:pPr>
        <w:pStyle w:val="Heading1"/>
        <w:spacing w:after="180" w:before="320"/>
      </w:pPr>
      <w:r>
        <w:rPr>
          <w:b/>
          <w:bCs/>
          <w:color w:val="2E75B6"/>
          <w:sz w:val="30"/>
          <w:szCs w:val="30"/>
        </w:rPr>
        <w:t xml:space="preserve">2. Status dos Bloqueadores Institucionais</w:t>
      </w:r>
    </w:p>
    <w:p>
      <w:pPr>
        <w:spacing w:after="120"/>
      </w:pPr>
      <w:r>
        <w:t xml:space="preserve">Quatro bloqueadores foram identificados como impeditivos para a operação efetivamente institucional do sistema. O quadro abaixo registra o status de cada um: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700"/>
        <w:gridCol w:w="16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Bloqueador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Solução adotada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Repositório na conta pessoal da responsável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Transferência para a organização Marvin no GitHub (marvin-monitoramento)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Resolvido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Token ClickUp pessoal da responsável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Procedimento documentado de regeneração e troca de titular, sem dependência de conta de serviço paga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Mitigado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Backup operacional não treinado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Adiado por decisão deliberada — risco assumido conscientemente até definição posterior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Adiado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Falta de comunicação institucional do canal oficial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Modelo de mensagem redigido e versionado em docs/COMUNICACAO-Interna-Anuncio-Canal.md, pronto para envio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 curso</w:t>
            </w:r>
          </w:p>
        </w:tc>
      </w:tr>
    </w:tbl>
    <w:p>
      <w:pPr>
        <w:pStyle w:val="Heading1"/>
        <w:spacing w:after="180" w:before="320"/>
      </w:pPr>
      <w:r>
        <w:rPr>
          <w:b/>
          <w:bCs/>
          <w:color w:val="2E75B6"/>
          <w:sz w:val="30"/>
          <w:szCs w:val="30"/>
        </w:rPr>
        <w:t xml:space="preserve">3. Workstreams</w:t>
      </w:r>
    </w:p>
    <w:p>
      <w:pPr>
        <w:pStyle w:val="Heading2"/>
        <w:spacing w:after="120" w:before="220"/>
      </w:pPr>
      <w:r>
        <w:rPr>
          <w:b/>
          <w:bCs/>
          <w:color w:val="2E75B6"/>
          <w:sz w:val="24"/>
          <w:szCs w:val="24"/>
        </w:rPr>
        <w:t xml:space="preserve">WS1 — Institucionalização</w:t>
      </w:r>
    </w:p>
    <w:p>
      <w:pPr>
        <w:spacing w:after="120"/>
      </w:pPr>
      <w:r>
        <w:t xml:space="preserve">Tirar o sistema do status de ferramenta individual e oficializá-lo como entrega da Marvin.</w:t>
      </w:r>
    </w:p>
    <w:p>
      <w:pPr>
        <w:pStyle w:val="Heading3"/>
        <w:spacing w:after="100" w:before="180"/>
      </w:pPr>
      <w:r>
        <w:rPr>
          <w:b/>
          <w:bCs/>
          <w:color w:val="1F3864"/>
          <w:sz w:val="22"/>
          <w:szCs w:val="22"/>
        </w:rPr>
        <w:t xml:space="preserve">Atividades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Apresentação executiva ao líder de Risco e demais stakeholders.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Comunicação interna no canal de Risco usando o modelo pré-redigido em docs/COMUNICACAO-Interna-Anuncio-Canal.md.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Aprovação formal para incluir o CVM Monitor na família oficial de monitoramentos automáticos.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Inclusão na agenda do comitê de risco mensal (bloco de 10 a 15 minutos para revisão do mês).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Versionamento da documentação no GitHub (já realizado em docs/).</w:t>
      </w:r>
    </w:p>
    <w:p>
      <w:pPr>
        <w:pStyle w:val="Heading3"/>
        <w:spacing w:after="100" w:before="180"/>
      </w:pPr>
      <w:r>
        <w:rPr>
          <w:b/>
          <w:bCs/>
          <w:color w:val="1F3864"/>
          <w:sz w:val="22"/>
          <w:szCs w:val="22"/>
        </w:rPr>
        <w:t xml:space="preserve">Owner</w:t>
      </w:r>
    </w:p>
    <w:p>
      <w:pPr>
        <w:spacing w:after="120"/>
      </w:pPr>
      <w:r>
        <w:t xml:space="preserve">Maria Vitória Pavan. Aprovador: Head de Risco.</w:t>
      </w:r>
    </w:p>
    <w:p>
      <w:pPr>
        <w:pStyle w:val="Heading3"/>
        <w:spacing w:after="100" w:before="180"/>
      </w:pPr>
      <w:r>
        <w:rPr>
          <w:b/>
          <w:bCs/>
          <w:color w:val="1F3864"/>
          <w:sz w:val="22"/>
          <w:szCs w:val="22"/>
        </w:rPr>
        <w:t xml:space="preserve">Prazo</w:t>
      </w:r>
    </w:p>
    <w:p>
      <w:pPr>
        <w:spacing w:after="120"/>
      </w:pPr>
      <w:r>
        <w:t xml:space="preserve">Semanas 1 e 2.</w:t>
      </w:r>
    </w:p>
    <w:p>
      <w:pPr>
        <w:pStyle w:val="Heading2"/>
        <w:spacing w:after="120" w:before="220"/>
      </w:pPr>
      <w:r>
        <w:rPr>
          <w:b/>
          <w:bCs/>
          <w:color w:val="2E75B6"/>
          <w:sz w:val="24"/>
          <w:szCs w:val="24"/>
        </w:rPr>
        <w:t xml:space="preserve">WS2 — Expansão de Distribuição</w:t>
      </w:r>
    </w:p>
    <w:p>
      <w:pPr>
        <w:spacing w:after="120"/>
      </w:pPr>
      <w:r>
        <w:t xml:space="preserve">Ampliar a base de destinatários internos dos alertas, mantendo o ClickUp como canal canônico.</w:t>
      </w:r>
    </w:p>
    <w:p>
      <w:pPr>
        <w:pStyle w:val="Heading3"/>
        <w:spacing w:after="100" w:before="180"/>
      </w:pPr>
      <w:r>
        <w:rPr>
          <w:b/>
          <w:bCs/>
          <w:color w:val="1F3864"/>
          <w:sz w:val="22"/>
          <w:szCs w:val="22"/>
        </w:rPr>
        <w:t xml:space="preserve">Configuração técnica</w:t>
      </w:r>
    </w:p>
    <w:p>
      <w:pPr>
        <w:spacing w:after="120"/>
      </w:pPr>
      <w:r>
        <w:t xml:space="preserve">Adicionar destinatário no e-mail local (Outlook):</w:t>
      </w:r>
    </w:p>
    <w:p>
      <w:pPr>
        <w:shd w:fill="F2F2F2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EMAIL_CC = "fulano@marvin.com.br;ciclano@marvin.com.br"  # em monitor.py</w:t>
      </w:r>
    </w:p>
    <w:p>
      <w:pPr>
        <w:spacing w:after="120"/>
      </w:pPr>
      <w:r>
        <w:t xml:space="preserve">Adicionar destinatário no ClickUp (cloud):</w:t>
      </w:r>
    </w:p>
    <w:p>
      <w:pPr>
        <w:spacing w:after="120"/>
      </w:pPr>
      <w:r>
        <w:t xml:space="preserve">No GitHub → Settings → Secrets and variables → Actions → editar CLICKUP_ASSIGNEE_IDS para incluir o user_id adicional, separado por vírgula. Ex.: "112137833,222333444".</w:t>
      </w:r>
    </w:p>
    <w:p>
      <w:pPr>
        <w:pStyle w:val="Heading3"/>
        <w:spacing w:after="100" w:before="180"/>
      </w:pPr>
      <w:r>
        <w:rPr>
          <w:b/>
          <w:bCs/>
          <w:color w:val="1F3864"/>
          <w:sz w:val="22"/>
          <w:szCs w:val="22"/>
        </w:rPr>
        <w:t xml:space="preserve">Sugestão inicial de destinatários (a validar)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Head de Risco — todos os alertas.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Analistas de Risco que cobrem a carteira — todos os alertas.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COO ou comitê executivo — apenas alertas mais críticos (filtro futuro via tag específica).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B800" w:sz="6"/>
              <w:left w:val="single" w:color="E6B800" w:sz="6"/>
              <w:bottom w:val="single" w:color="E6B800" w:sz="6"/>
              <w:right w:val="single" w:color="E6B800" w:sz="6"/>
            </w:tcBorders>
            <w:shd w:fill="FFF4C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8B6914"/>
              </w:rPr>
              <w:t xml:space="preserve">Nota: </w:t>
            </w:r>
            <w:r>
              <w:t xml:space="preserve">Confirmar com cada destinatário se aceita receber o canal diário antes de adicioná-lo. Quem quiser apenas eventos críticos pode filtrar a lista no ClickUp por tags específicas.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2E75B6"/>
          <w:sz w:val="24"/>
          <w:szCs w:val="24"/>
        </w:rPr>
        <w:t xml:space="preserve">WS3 — Governança e Operação</w:t>
      </w:r>
    </w:p>
    <w:p>
      <w:pPr>
        <w:spacing w:after="120"/>
      </w:pPr>
      <w:r>
        <w:t xml:space="preserve">Garantir manutenção previsível, métricas de saúde e ciclos de revisão.</w:t>
      </w:r>
    </w:p>
    <w:p>
      <w:pPr>
        <w:pStyle w:val="Heading3"/>
        <w:spacing w:after="100" w:before="180"/>
      </w:pPr>
      <w:r>
        <w:rPr>
          <w:b/>
          <w:bCs/>
          <w:color w:val="1F3864"/>
          <w:sz w:val="22"/>
          <w:szCs w:val="22"/>
        </w:rPr>
        <w:t xml:space="preserve">Rotinas e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360"/>
        <w:gridCol w:w="3000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Rotina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Frequência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 sugerido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Revisão da watchlist (entrada e saída de devedor)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Mensal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Analista de Risco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Triagem dos alertas do mês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Semanal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 de Risco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Auditoria de cobertura (sample manual vs. CVM)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Trimestral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Maria Vitória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Atualização da documentação no GitHub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Conforme necessário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Maria Vitória</w:t>
            </w:r>
          </w:p>
        </w:tc>
      </w:tr>
    </w:tbl>
    <w:p>
      <w:pPr>
        <w:pStyle w:val="Heading3"/>
        <w:spacing w:after="100" w:before="180"/>
      </w:pPr>
      <w:r>
        <w:rPr>
          <w:b/>
          <w:bCs/>
          <w:color w:val="1F3864"/>
          <w:sz w:val="22"/>
          <w:szCs w:val="22"/>
        </w:rPr>
        <w:t xml:space="preserve">Métricas de saúde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Uptime do cron do GitHub Actions — meta acima de 95% dos dias úteis.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Latência média de detecção entre publicação na CVM e alerta no ClickUp — meta D+1.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Volume mensal de eventos detectados e empresas com eventos.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Auditoria trimestral comparando uma amostra do que o sistema captou vs. levantamento manual no portal da CVM.</w:t>
      </w:r>
    </w:p>
    <w:p>
      <w:pPr>
        <w:pStyle w:val="Heading2"/>
        <w:spacing w:after="120" w:before="220"/>
      </w:pPr>
      <w:r>
        <w:rPr>
          <w:b/>
          <w:bCs/>
          <w:color w:val="2E75B6"/>
          <w:sz w:val="24"/>
          <w:szCs w:val="24"/>
        </w:rPr>
        <w:t xml:space="preserve">WS4 — Evoluções Planejadas</w:t>
      </w:r>
    </w:p>
    <w:p>
      <w:pPr>
        <w:pStyle w:val="Heading3"/>
        <w:spacing w:after="100" w:before="180"/>
      </w:pPr>
      <w:r>
        <w:rPr>
          <w:b/>
          <w:bCs/>
          <w:color w:val="1F3864"/>
          <w:sz w:val="22"/>
          <w:szCs w:val="22"/>
        </w:rPr>
        <w:t xml:space="preserve">Fase 2A — Cobertura de devedores privados (DataJud + DOU)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Cobertura atual deixa 15 dos 20 devedores fora do canal (apenas listados na CVM são vistos).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Solução: integração com DataJud (Conselho Nacional de Justiça — base de processos judiciais) e DOU (Imprensa Nacional — publicações oficiais).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Esforço estimado: 3 a 4 semanas de engenharia.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Prazo sugerido: Mês 3.</w:t>
      </w:r>
    </w:p>
    <w:p>
      <w:pPr>
        <w:pStyle w:val="Heading3"/>
        <w:spacing w:after="100" w:before="180"/>
      </w:pPr>
      <w:r>
        <w:rPr>
          <w:b/>
          <w:bCs/>
          <w:color w:val="1F3864"/>
          <w:sz w:val="22"/>
          <w:szCs w:val="22"/>
        </w:rPr>
        <w:t xml:space="preserve">Fase 2B — Classificação refinada por LLM (opcional)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Hoje a classificação automática de materialidade foi removida das saídas visíveis para evitar viés interpretativo.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Caso reativada, evoluiria via modelo de linguagem (Claude Haiku ou GPT-4o-mini) lendo o texto completo do fato relevante e gerando uma síntese — não um juízo de valor binário.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 estimado: R$ 50 a R$ 200 por mês em chamadas de API.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Esforço estimado: 3 a 5 dias de engenharia.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Prazo sugerido: Mês 4 (se reativada).</w:t>
      </w:r>
    </w:p>
    <w:p>
      <w:pPr>
        <w:pStyle w:val="Heading3"/>
        <w:spacing w:after="100" w:before="180"/>
      </w:pPr>
      <w:r>
        <w:rPr>
          <w:b/>
          <w:bCs/>
          <w:color w:val="1F3864"/>
          <w:sz w:val="22"/>
          <w:szCs w:val="22"/>
        </w:rPr>
        <w:t xml:space="preserve">Fase 3 — Widget cliente-facing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Expor os eventos detectados diretamente no dashboard do credor, ao lado do ICG e demais métricas do colateral.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Permite ao credor ter visão integrada: o que está acontecendo com o devedor + como o colateral está performando.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Esforço estimado: 3 a 4 semanas de engenharia.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Prazo sugerido: Mês 6.</w:t>
      </w:r>
    </w:p>
    <w:p>
      <w:pPr>
        <w:pStyle w:val="Heading1"/>
        <w:spacing w:after="180" w:before="320"/>
      </w:pPr>
      <w:r>
        <w:rPr>
          <w:b/>
          <w:bCs/>
          <w:color w:val="2E75B6"/>
          <w:sz w:val="30"/>
          <w:szCs w:val="30"/>
        </w:rPr>
        <w:t xml:space="preserve">4. Próximos Passos Imediatos</w:t>
      </w:r>
    </w:p>
    <w:p>
      <w:pPr>
        <w:spacing w:after="120"/>
      </w:pPr>
      <w:r>
        <w:t xml:space="preserve">Para as próximas duas semanas: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Apresentar o sistema ao Head de Risco em reunião dedicada de 15 minutos.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Enviar a comunicação interna usando o modelo em docs/COMUNICACAO-Interna-Anuncio-Canal.md.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Definir e validar a lista de destinatários adicionais com cada candidato.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Configurar EMAIL_CC (local) e atualizar CLICKUP_ASSIGNEE_IDS (cloud) com os novos destinatários.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Realizar testes manuais confirmando que os alertas chegam aos novos destinatários.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Incluir o CVM Monitor na agenda do comitê de risco mensal.</w:t>
      </w:r>
    </w:p>
    <w:p>
      <w:pPr>
        <w:pStyle w:val="Heading1"/>
        <w:spacing w:after="180" w:before="320"/>
      </w:pPr>
      <w:r>
        <w:rPr>
          <w:b/>
          <w:bCs/>
          <w:color w:val="2E75B6"/>
          <w:sz w:val="30"/>
          <w:szCs w:val="30"/>
        </w:rPr>
        <w:t xml:space="preserve">5. Apêndice — Configuração de Destinatários</w:t>
      </w:r>
    </w:p>
    <w:p>
      <w:pPr>
        <w:pStyle w:val="Heading2"/>
        <w:spacing w:after="120" w:before="220"/>
      </w:pPr>
      <w:r>
        <w:rPr>
          <w:b/>
          <w:bCs/>
          <w:color w:val="2E75B6"/>
          <w:sz w:val="24"/>
          <w:szCs w:val="24"/>
        </w:rPr>
        <w:t xml:space="preserve">5.1. E-mail local (monitor pelo Outlook)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Abrir o arquivo monitor.py em 03. LOCAL/ com o Bloco de Notas.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Localizar a constante EMAIL_CC próximo ao topo do arquivo.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Substituir o valor por uma string com os e-mails desejados, separados por ponto-e-vírgula. Exemplo: EMAIL_CC = "fulano@marvin.com.br;ciclano@marvin.com.br"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Salvar o arquivo.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Próxima execução do monitor (login do Windows ou duplo-clique em run_weekly.bat) já enviará o e-mail também em cópia para os destinatários adicionados.</w:t>
      </w:r>
    </w:p>
    <w:p>
      <w:pPr>
        <w:pStyle w:val="Heading2"/>
        <w:spacing w:after="120" w:before="220"/>
      </w:pPr>
      <w:r>
        <w:rPr>
          <w:b/>
          <w:bCs/>
          <w:color w:val="2E75B6"/>
          <w:sz w:val="24"/>
          <w:szCs w:val="24"/>
        </w:rPr>
        <w:t xml:space="preserve">5.2. ClickUp (monitor cloud)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Identificar o user_id do novo destinatário no ClickUp. O ID aparece na URL do perfil (formato app.clickup.com/.../u/{user_id}).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Acessar github.com/marvin-monitoramento/marvin-cvm-fatos-relevantes.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Settings → Secrets and variables → Actions.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Editar o secret CLICKUP_ASSIGNEE_IDS, adicionando o novo ID separado por vírgula, sem espaço.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Salvar. O próximo run automático (10h BRT) já atribuirá as tasks aos destinatários atualizados.</w:t>
      </w:r>
    </w:p>
    <w:p>
      <w:pPr>
        <w:pStyle w:val="Heading2"/>
        <w:spacing w:after="120" w:before="220"/>
      </w:pPr>
      <w:r>
        <w:rPr>
          <w:b/>
          <w:bCs/>
          <w:color w:val="2E75B6"/>
          <w:sz w:val="24"/>
          <w:szCs w:val="24"/>
        </w:rPr>
        <w:t xml:space="preserve">5.3. Procedimento de regeneração do token</w:t>
      </w:r>
    </w:p>
    <w:p>
      <w:pPr>
        <w:spacing w:after="120"/>
      </w:pPr>
      <w:r>
        <w:t xml:space="preserve">O procedimento completo de regeneração do token ClickUp está documentado em PROCEDIMENTO-Regeneracao-Token-ClickUp.md, tanto no repositório GitHub quanto em 01. Manual/ no OneDrive. Tempo estimado: 10 minutos.</w:t>
      </w:r>
    </w:p>
    <w:p>
      <w:pPr>
        <w:pStyle w:val="Heading1"/>
        <w:spacing w:after="180" w:before="320"/>
      </w:pPr>
      <w:r>
        <w:rPr>
          <w:b/>
          <w:bCs/>
          <w:color w:val="2E75B6"/>
          <w:sz w:val="30"/>
          <w:szCs w:val="30"/>
        </w:rPr>
        <w:t xml:space="preserve">6.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900"/>
        <w:gridCol w:w="2960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Probabilidade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Mitigação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Instabilidade do portal CVM (já vista)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Retry com backoff exponencial implementado + redundância local/cloud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Token ClickUp expirar ou ser revogado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Procedimento documentado de regeneração (10 min) versionado no repo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Saída sem backup treinado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Aceito conscientemente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Risco assumido por decisão deliberada — revisitar quando houver expansão do time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Fadiga de alerta no time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Classificação automática removida; filtros podem ser aplicados por tag no ClickUp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Devedor sair da carteira sem watchlist ser atualizada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Rotina mensal de revisão prevista em WS3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Cobertura limitada (apenas listados)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Conhecida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Fase 2A endereça via DataJud + DOU</w:t>
            </w:r>
          </w:p>
        </w:tc>
      </w:tr>
    </w:tbl>
    <w:p>
      <w:pPr>
        <w:pStyle w:val="Heading1"/>
        <w:spacing w:after="180" w:before="320"/>
      </w:pPr>
      <w:r>
        <w:rPr>
          <w:b/>
          <w:bCs/>
          <w:color w:val="2E75B6"/>
          <w:sz w:val="30"/>
          <w:szCs w:val="30"/>
        </w:rPr>
        <w:t xml:space="preserve">7. Métricas de Sucesso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 1 mês: três ou mais destinatários adicionais ativos e recebendo alertas. Sistema rodando sem intervenção manual.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 3 meses: Fase 2A entregue, cobertura ampliada para todos os 20 devedores da carteira (com sinais externos disponíveis).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 6 meses: Fase 3 (widget cliente-facing) entregue, com ao menos um credor utilizando o widget integrado ao dashboard.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 12 meses: ao menos um evento crítico capturado pelo sistema antes da deterioração do colateral, validando o caso de uso.</w:t>
      </w:r>
    </w:p>
    <w:p>
      <w:pPr>
        <w:pStyle w:val="Heading1"/>
        <w:spacing w:after="180" w:before="320"/>
      </w:pPr>
      <w:r>
        <w:rPr>
          <w:b/>
          <w:bCs/>
          <w:color w:val="2E75B6"/>
          <w:sz w:val="30"/>
          <w:szCs w:val="30"/>
        </w:rPr>
        <w:t xml:space="preserve">8. Referências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Manual técnico: docs/2026.04.24 - Monitoramento Automatico - Fatos Relevantes CVM.pdf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Relatório do MVP e plano de sucessão: docs/Relatorio MVP - Monitoramento Fatos Relevantes CVM.docx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Procedimento de regeneração do token: PROCEDIMENTO-Regeneracao-Token-ClickUp.md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Comunicação interna pronta para envio: docs/COMUNICACAO-Interna-Anuncio-Canal.md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Repositório: github.com/marvin-monitoramento/marvin-cvm-fatos-relevantes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Working Plan v2.0 - Monitoramento CVM Fatos Relevantes</dc:title>
  <dc:creator>Marvin - Maria Vitória Pavan</dc:creator>
  <dc:description>Plano de implementação institucional, versão 2.0 atualizada</dc:description>
  <cp:lastModifiedBy>Un-named</cp:lastModifiedBy>
  <cp:revision>1</cp:revision>
  <dcterms:created xsi:type="dcterms:W3CDTF">2026-05-28T18:39:57.037Z</dcterms:created>
  <dcterms:modified xsi:type="dcterms:W3CDTF">2026-05-28T18:39:57.037Z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