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b/>
          <w:bCs/>
          <w:color w:val="1F3864"/>
          <w:sz w:val="44"/>
          <w:szCs w:val="44"/>
        </w:rPr>
        <w:t xml:space="preserve">Relatório de Tarefa MVP</w:t>
      </w:r>
    </w:p>
    <w:p>
      <w:pPr>
        <w:spacing w:after="100"/>
        <w:jc w:val="center"/>
      </w:pPr>
      <w:r>
        <w:rPr>
          <w:b/>
          <w:bCs/>
          <w:color w:val="2E75B6"/>
          <w:sz w:val="30"/>
          <w:szCs w:val="30"/>
        </w:rPr>
        <w:t xml:space="preserve">Monitoramento Automático de Fatos Relevantes CVM</w:t>
      </w:r>
    </w:p>
    <w:p>
      <w:pPr>
        <w:spacing w:after="600"/>
        <w:jc w:val="center"/>
      </w:pPr>
      <w:r>
        <w:rPr>
          <w:i/>
          <w:iCs/>
          <w:sz w:val="22"/>
          <w:szCs w:val="22"/>
        </w:rPr>
        <w:t xml:space="preserve">Construção, operação, manutenção e plano de sucessão</w:t>
      </w:r>
    </w:p>
    <w:p>
      <w:pPr>
        <w:spacing w:after="100"/>
        <w:jc w:val="center"/>
      </w:pPr>
      <w:r>
        <w:rPr>
          <w:sz w:val="22"/>
          <w:szCs w:val="22"/>
        </w:rPr>
        <w:t xml:space="preserve">Responsável atual: Maria Vitória Pavan</w:t>
      </w:r>
    </w:p>
    <w:p>
      <w:pPr>
        <w:spacing w:after="100"/>
        <w:jc w:val="center"/>
      </w:pPr>
      <w:r>
        <w:rPr>
          <w:sz w:val="22"/>
          <w:szCs w:val="22"/>
        </w:rPr>
        <w:t xml:space="preserve">Versão 1.0 — Maio 2026</w:t>
      </w:r>
    </w:p>
    <w:p>
      <w:r>
        <w:br w:type="page"/>
      </w:r>
    </w:p>
    <w:p>
      <w:pPr>
        <w:pStyle w:val="Heading1"/>
        <w:spacing w:after="180" w:before="320"/>
      </w:pPr>
      <w:r>
        <w:rPr>
          <w:b/>
          <w:bCs/>
          <w:color w:val="2E75B6"/>
          <w:sz w:val="30"/>
          <w:szCs w:val="30"/>
        </w:rPr>
        <w:t xml:space="preserve">Sumário Executivo</w:t>
      </w:r>
    </w:p>
    <w:p>
      <w:pPr>
        <w:spacing w:after="120"/>
      </w:pPr>
      <w:r>
        <w:t xml:space="preserve">Este documento descreve o projeto MVP de Monitoramento Automático de Fatos Relevantes da CVM, construído pela área de Risco da Marvin para detectar proativamente eventos materiais (mudança de auditor, renegociação de covenants, recuperação judicial, fato relevante, comunicado ao mercado, etc.) publicados pelos devedores listados da carteira ativa.</w:t>
      </w:r>
    </w:p>
    <w:p>
      <w:pPr>
        <w:spacing w:after="120"/>
      </w:pPr>
      <w:r>
        <w:t xml:space="preserve">O sistema roda diariamente de forma autônoma na máquina da responsável, baixa o arquivo IPE oficial da CVM, filtra pelos 20 devedores monitorados, classifica os eventos em três níveis de materialidade (alta, média, baixa) e envia um e-mail estruturado para o time de Risco — com a planilha histórica acumulada como fonte-verdade auditável.</w:t>
      </w:r>
    </w:p>
    <w:p>
      <w:pPr>
        <w:pStyle w:val="Heading2"/>
        <w:spacing w:after="120" w:before="220"/>
      </w:pPr>
      <w:r>
        <w:rPr>
          <w:b/>
          <w:bCs/>
          <w:color w:val="2E75B6"/>
          <w:sz w:val="24"/>
          <w:szCs w:val="24"/>
        </w:rPr>
        <w:t xml:space="preserve">Status atual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rPr>
          <w:tblHeader/>
        </w:trPr>
        <w:tc>
          <w:tcPr>
            <w:tcW w:type="dxa" w:w="45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sz w:val="18"/>
                <w:szCs w:val="18"/>
              </w:rPr>
              <w:t xml:space="preserve">Item</w:t>
            </w:r>
          </w:p>
        </w:tc>
        <w:tc>
          <w:tcPr>
            <w:tcW w:type="dxa" w:w="486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sz w:val="18"/>
                <w:szCs w:val="18"/>
              </w:rPr>
              <w:t xml:space="preserve">Estado</w:t>
            </w:r>
          </w:p>
        </w:tc>
      </w:tr>
      <w:tr>
        <w:trPr>
          <w:tblHeader w:val="false"/>
        </w:trP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Pipeline Python coletando da CVM</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Operacional</w:t>
            </w:r>
          </w:p>
        </w:tc>
      </w:tr>
      <w:tr>
        <w:trPr>
          <w:tblHeader w:val="false"/>
        </w:trP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20 devedores reais na watchlist</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Configurados</w:t>
            </w:r>
          </w:p>
        </w:tc>
      </w:tr>
      <w:tr>
        <w:trPr>
          <w:tblHeader w:val="false"/>
        </w:trP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Matching por raiz de CNPJ</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Implementado</w:t>
            </w:r>
          </w:p>
        </w:tc>
      </w:tr>
      <w:tr>
        <w:trPr>
          <w:tblHeader w:val="false"/>
        </w:trP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Planilha Excel histórica</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Geração automática</w:t>
            </w:r>
          </w:p>
        </w:tc>
      </w:tr>
      <w:tr>
        <w:trPr>
          <w:tblHeader w:val="false"/>
        </w:trP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E-mail diário via Outlook</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Operacional</w:t>
            </w:r>
          </w:p>
        </w:tc>
      </w:tr>
      <w:tr>
        <w:trPr>
          <w:tblHeader w:val="false"/>
        </w:trP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Auto-execução no login do Windows</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Configurada</w:t>
            </w:r>
          </w:p>
        </w:tc>
      </w:tr>
      <w:tr>
        <w:trPr>
          <w:tblHeader w:val="false"/>
        </w:trP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Manual técnico (PDF)</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Entregue</w:t>
            </w:r>
          </w:p>
        </w:tc>
      </w:tr>
      <w:tr>
        <w:trPr>
          <w:tblHeader w:val="false"/>
        </w:trP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Devedores não-listados (CVM não cobre)</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Fase 2 — pendente</w:t>
            </w:r>
          </w:p>
        </w:tc>
      </w:tr>
    </w:tbl>
    <w:p>
      <w:pPr>
        <w:pStyle w:val="Heading1"/>
        <w:spacing w:after="180" w:before="320"/>
      </w:pPr>
      <w:r>
        <w:rPr>
          <w:b/>
          <w:bCs/>
          <w:color w:val="2E75B6"/>
          <w:sz w:val="30"/>
          <w:szCs w:val="30"/>
        </w:rPr>
        <w:t xml:space="preserve">1. Contexto e Motivação</w:t>
      </w:r>
    </w:p>
    <w:p>
      <w:pPr>
        <w:pStyle w:val="Heading2"/>
        <w:spacing w:after="120" w:before="220"/>
      </w:pPr>
      <w:r>
        <w:rPr>
          <w:b/>
          <w:bCs/>
          <w:color w:val="2E75B6"/>
          <w:sz w:val="24"/>
          <w:szCs w:val="24"/>
        </w:rPr>
        <w:t xml:space="preserve">1.1. Por que esse monitoramento existe</w:t>
      </w:r>
    </w:p>
    <w:p>
      <w:pPr>
        <w:spacing w:after="120"/>
      </w:pPr>
      <w:r>
        <w:t xml:space="preserve">A Marvin atua como Agente de Garantias de grandes credores (mercantis e financeiros), gerindo colaterais financeiros — recebíveis de cartão, cash-in-transit, duplicatas, contratos comerciais — como garantia de exposições que, em geral, ultrapassam R$ 15 milhões por devedor.</w:t>
      </w:r>
    </w:p>
    <w:p>
      <w:pPr>
        <w:spacing w:after="120"/>
      </w:pPr>
      <w:r>
        <w:t xml:space="preserve">O sistema interno da Marvin (ICG, agenda performada, gravames de terceiros) detecta deterioração do colateral em tempo real. Mas detecção de deterioração é informação tardia: quando o ICG cai, o problema já existe.</w:t>
      </w:r>
    </w:p>
    <w:p>
      <w:pPr>
        <w:spacing w:after="120"/>
      </w:pPr>
      <w:r>
        <w:t xml:space="preserve">Eventos adversos externos, como troca abrupta de auditor, renegociação de covenants ou ação judicial relevante, antecedem a deterioração do colateral em semanas ou meses. Capturar esses sinais cedo permite ao time de Risco agir antes — apertar covenants, reter recursos, alertar o credor — em vez de reagir depois.</w:t>
      </w:r>
    </w:p>
    <w:p>
      <w:pPr>
        <w:spacing w:after="120"/>
      </w:pPr>
      <w:r>
        <w:t xml:space="preserve">Este monitor é o primeiro canal automatizado para essa captura, focado em devedores listados na CVM (que são obrigados por Resolução CVM 44/2021 a divulgar fatos relevantes em até um dia útil).</w:t>
      </w:r>
    </w:p>
    <w:p>
      <w:pPr>
        <w:pStyle w:val="Heading2"/>
        <w:spacing w:after="120" w:before="220"/>
      </w:pPr>
      <w:r>
        <w:rPr>
          <w:b/>
          <w:bCs/>
          <w:color w:val="2E75B6"/>
          <w:sz w:val="24"/>
          <w:szCs w:val="24"/>
        </w:rPr>
        <w:t xml:space="preserve">1.2. Lugar no sistema de risco da Marvin</w:t>
      </w:r>
    </w:p>
    <w:p>
      <w:pPr>
        <w:spacing w:after="120"/>
      </w:pPr>
      <w:r>
        <w:t xml:space="preserve">Este projeto é parte de uma família de monitoramentos automáticos da Marvin, todos com manuais e padrões similares:</w:t>
      </w:r>
    </w:p>
    <w:p>
      <w:pPr>
        <w:pStyle w:val="ListParagraph"/>
        <w:numPr>
          <w:ilvl w:val="0"/>
          <w:numId w:val="2"/>
        </w:numPr>
        <w:spacing w:after="80"/>
      </w:pPr>
      <w:r>
        <w:t xml:space="preserve">Monitoramento de Vencimento de Poderes (ClickUp + Cowork)</w:t>
      </w:r>
    </w:p>
    <w:p>
      <w:pPr>
        <w:pStyle w:val="ListParagraph"/>
        <w:numPr>
          <w:ilvl w:val="0"/>
          <w:numId w:val="2"/>
        </w:numPr>
        <w:spacing w:after="80"/>
      </w:pPr>
      <w:r>
        <w:t xml:space="preserve">Monitoramento JUCESP (mudanças cadastrais de Fiduciantes)</w:t>
      </w:r>
    </w:p>
    <w:p>
      <w:pPr>
        <w:pStyle w:val="ListParagraph"/>
        <w:numPr>
          <w:ilvl w:val="0"/>
          <w:numId w:val="2"/>
        </w:numPr>
        <w:spacing w:after="80"/>
      </w:pPr>
      <w:r>
        <w:t xml:space="preserve">Monitoramento de Ratings de Crédito (GitHub Actions + ClickUp)</w:t>
      </w:r>
    </w:p>
    <w:p>
      <w:pPr>
        <w:pStyle w:val="ListParagraph"/>
        <w:numPr>
          <w:ilvl w:val="0"/>
          <w:numId w:val="2"/>
        </w:numPr>
        <w:spacing w:after="80"/>
      </w:pPr>
      <w:r>
        <w:t xml:space="preserve">Monitoramento de Fatos Relevantes CVM (este)</w:t>
      </w:r>
    </w:p>
    <w:p>
      <w:pPr>
        <w:pStyle w:val="Heading1"/>
        <w:spacing w:after="180" w:before="320"/>
      </w:pPr>
      <w:r>
        <w:rPr>
          <w:b/>
          <w:bCs/>
          <w:color w:val="2E75B6"/>
          <w:sz w:val="30"/>
          <w:szCs w:val="30"/>
        </w:rPr>
        <w:t xml:space="preserve">2. O Que Foi Entregue</w:t>
      </w:r>
    </w:p>
    <w:p>
      <w:pPr>
        <w:pStyle w:val="Heading2"/>
        <w:spacing w:after="120" w:before="220"/>
      </w:pPr>
      <w:r>
        <w:rPr>
          <w:b/>
          <w:bCs/>
          <w:color w:val="2E75B6"/>
          <w:sz w:val="24"/>
          <w:szCs w:val="24"/>
        </w:rPr>
        <w:t xml:space="preserve">2.1. Componentes do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sz w:val="18"/>
                <w:szCs w:val="18"/>
              </w:rPr>
              <w:t xml:space="preserve">Componente</w:t>
            </w:r>
          </w:p>
        </w:tc>
        <w:tc>
          <w:tcPr>
            <w:tcW w:type="dxa" w:w="586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sz w:val="18"/>
                <w:szCs w:val="18"/>
              </w:rPr>
              <w:t xml:space="preserve">O que faz</w:t>
            </w:r>
          </w:p>
        </w:tc>
      </w:tr>
      <w:tr>
        <w:trPr>
          <w:tblHeader w:val="false"/>
        </w:trP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monitor.py</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Script principal Python — orquestra coleta, filtragem, classificação, persistência e envio de e-mail</w:t>
            </w:r>
          </w:p>
        </w:tc>
      </w:tr>
      <w:tr>
        <w:trPr>
          <w:tblHeader w:val="false"/>
        </w:trP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watchlist.csv</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Lista dos 20 devedores monitorados, com CNPJ, razão social e credor principal</w:t>
            </w:r>
          </w:p>
        </w:tc>
      </w:tr>
      <w:tr>
        <w:trPr>
          <w:tblHeader w:val="false"/>
        </w:trP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historico_eventos.xlsx</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Planilha histórica formatada por materialidade — fonte de consulta visual</w:t>
            </w:r>
          </w:p>
        </w:tc>
      </w:tr>
      <w:tr>
        <w:trPr>
          <w:tblHeader w:val="false"/>
        </w:trP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historico.csv</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Fonte-verdade auditável em CSV (append-only, dedup por SHA-256)</w:t>
            </w:r>
          </w:p>
        </w:tc>
      </w:tr>
      <w:tr>
        <w:trPr>
          <w:tblHeader w:val="false"/>
        </w:trP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E-mail diário via Outlook</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Resumo enviado todo dia para a responsável; assunto verde se nada novo, vermelho se há eventos</w:t>
            </w:r>
          </w:p>
        </w:tc>
      </w:tr>
      <w:tr>
        <w:trPr>
          <w:tblHeader w:val="false"/>
        </w:trP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run_weekly.bat</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Arquivo chamado pelo Windows para disparar o monitor</w:t>
            </w:r>
          </w:p>
        </w:tc>
      </w:tr>
      <w:tr>
        <w:trPr>
          <w:tblHeader w:val="false"/>
        </w:trP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Pasta de Inicialização</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Atalho que faz o Windows rodar o monitor a cada login da responsável</w:t>
            </w:r>
          </w:p>
        </w:tc>
      </w:tr>
      <w:tr>
        <w:trPr>
          <w:tblHeader w:val="false"/>
        </w:trP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Manual PDF (padrão Marvin)</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Documento técnico de operação, igual aos demais monitoramentos</w:t>
            </w:r>
          </w:p>
        </w:tc>
      </w:tr>
    </w:tbl>
    <w:p>
      <w:pPr>
        <w:pStyle w:val="Heading2"/>
        <w:spacing w:after="120" w:before="220"/>
      </w:pPr>
      <w:r>
        <w:rPr>
          <w:b/>
          <w:bCs/>
          <w:color w:val="2E75B6"/>
          <w:sz w:val="24"/>
          <w:szCs w:val="24"/>
        </w:rPr>
        <w:t xml:space="preserve">2.2. Devedores monitorados (watchlist atual)</w:t>
      </w:r>
    </w:p>
    <w:p>
      <w:pPr>
        <w:spacing w:after="120"/>
      </w:pPr>
      <w:r>
        <w:t xml:space="preserve">Lista atual extraída dos ICFs ativos da Marvin em 24/04/2026: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sz w:val="18"/>
                <w:szCs w:val="18"/>
              </w:rPr>
              <w:t xml:space="preserve">Devedor</w:t>
            </w:r>
          </w:p>
        </w:tc>
        <w:tc>
          <w:tcPr>
            <w:tcW w:type="dxa" w:w="258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sz w:val="18"/>
                <w:szCs w:val="18"/>
              </w:rPr>
              <w:t xml:space="preserve">CNPJ raiz</w:t>
            </w:r>
          </w:p>
        </w:tc>
        <w:tc>
          <w:tcPr>
            <w:tcW w:type="dxa" w:w="258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sz w:val="18"/>
                <w:szCs w:val="18"/>
              </w:rPr>
              <w:t xml:space="preserve">Listado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Grupo CVLB (entidade 1)</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16.233.389</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Grupo CVLB (entidade 2)</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11.114.284</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Grupo Casas Bahia (Via S.A.)</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33.041.260</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Sim</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Novo Mundo (entidade 1)</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13.530.973</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Novo Mundo (entidade 2)</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01.534.080</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Lojas Marisa S.A.</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61.189.288</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Sim</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Grupo Hinode</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17.086.101</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Pernambucanas</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61.099.834</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Ammo Varejo</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03.494.776</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Promoação</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44.154.079</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Pinheiro Tintas</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13.543.208</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Americanas S.A.</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00.776.574</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Sim</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Fast Shop</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43.708.379</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Satu Holding</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57.112.258</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St. Marche (Virtus)</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11.317.530</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Zinzane</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05.027.195</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Bodytech</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22.748.953</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Ri Happy</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58.731.662</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GPA (CBD)</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47.508.411</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Sim</w:t>
            </w:r>
          </w:p>
        </w:tc>
      </w:tr>
      <w:tr>
        <w:trPr>
          <w:tblHeader w:val="false"/>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Befly</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17.219.734</w:t>
            </w:r>
          </w:p>
        </w:tc>
        <w:tc>
          <w:tcPr>
            <w:tcW w:type="dxa" w:w="2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Não</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B800" w:sz="6"/>
              <w:left w:val="single" w:color="E6B800" w:sz="6"/>
              <w:bottom w:val="single" w:color="E6B800" w:sz="6"/>
              <w:right w:val="single" w:color="E6B800" w:sz="6"/>
            </w:tcBorders>
            <w:shd w:fill="FFF4CE" w:val="clear"/>
            <w:tcMar>
              <w:top w:type="dxa" w:w="120"/>
              <w:left w:type="dxa" w:w="200"/>
              <w:bottom w:type="dxa" w:w="120"/>
              <w:right w:type="dxa" w:w="200"/>
            </w:tcMar>
          </w:tcPr>
          <w:p>
            <w:r>
              <w:rPr>
                <w:b/>
                <w:bCs/>
                <w:color w:val="8B6914"/>
              </w:rPr>
              <w:t xml:space="preserve">ATENÇÃO: </w:t>
            </w:r>
            <w:r>
              <w:t xml:space="preserve">Apenas os 4 devedores marcados como 'Sim' geram eventos neste canal (Casas Bahia, Marisa, Americanas, GPA). Para os privados — Pernambucanas, Fast Shop, Bodytech, Novo Mundo, entre outros — o monitoramento depende de outras fontes (DataJud, DOU, bureaus), previstas como Fase 2.</w:t>
            </w:r>
          </w:p>
        </w:tc>
      </w:tr>
    </w:tbl>
    <w:p>
      <w:pPr>
        <w:pStyle w:val="Heading1"/>
        <w:spacing w:after="180" w:before="320"/>
      </w:pPr>
      <w:r>
        <w:rPr>
          <w:b/>
          <w:bCs/>
          <w:color w:val="2E75B6"/>
          <w:sz w:val="30"/>
          <w:szCs w:val="30"/>
        </w:rPr>
        <w:t xml:space="preserve">3. Como Funciona</w:t>
      </w:r>
    </w:p>
    <w:p>
      <w:pPr>
        <w:pStyle w:val="Heading2"/>
        <w:spacing w:after="120" w:before="220"/>
      </w:pPr>
      <w:r>
        <w:rPr>
          <w:b/>
          <w:bCs/>
          <w:color w:val="2E75B6"/>
          <w:sz w:val="24"/>
          <w:szCs w:val="24"/>
        </w:rPr>
        <w:t xml:space="preserve">3.1. Fluxo diário</w:t>
      </w:r>
    </w:p>
    <w:p>
      <w:pPr>
        <w:pStyle w:val="ListParagraph"/>
        <w:numPr>
          <w:ilvl w:val="0"/>
          <w:numId w:val="3"/>
        </w:numPr>
        <w:spacing w:after="80"/>
      </w:pPr>
      <w:r>
        <w:t xml:space="preserve">O Windows da responsável é ligado e logado.</w:t>
      </w:r>
    </w:p>
    <w:p>
      <w:pPr>
        <w:pStyle w:val="ListParagraph"/>
        <w:numPr>
          <w:ilvl w:val="0"/>
          <w:numId w:val="3"/>
        </w:numPr>
        <w:spacing w:after="80"/>
      </w:pPr>
      <w:r>
        <w:t xml:space="preserve">O atalho na Pasta de Inicialização dispara o run_weekly.bat.</w:t>
      </w:r>
    </w:p>
    <w:p>
      <w:pPr>
        <w:pStyle w:val="ListParagraph"/>
        <w:numPr>
          <w:ilvl w:val="0"/>
          <w:numId w:val="3"/>
        </w:numPr>
        <w:spacing w:after="80"/>
      </w:pPr>
      <w:r>
        <w:t xml:space="preserve">O .bat chama o Python rodando monitor.py com a flag --lookback 10 (olha 10 dias para trás).</w:t>
      </w:r>
    </w:p>
    <w:p>
      <w:pPr>
        <w:pStyle w:val="ListParagraph"/>
        <w:numPr>
          <w:ilvl w:val="0"/>
          <w:numId w:val="3"/>
        </w:numPr>
        <w:spacing w:after="80"/>
      </w:pPr>
      <w:r>
        <w:t xml:space="preserve">O monitor.py baixa o arquivo IPE da CVM em dados.cvm.gov.br (tenta automaticamente .csv e .zip, ano atual e anterior).</w:t>
      </w:r>
    </w:p>
    <w:p>
      <w:pPr>
        <w:pStyle w:val="ListParagraph"/>
        <w:numPr>
          <w:ilvl w:val="0"/>
          <w:numId w:val="3"/>
        </w:numPr>
        <w:spacing w:after="80"/>
      </w:pPr>
      <w:r>
        <w:t xml:space="preserve">Filtra pelos CNPJs da watchlist (matching por raiz de CNPJ — 8 primeiros dígitos — para capturar matriz e filiais).</w:t>
      </w:r>
    </w:p>
    <w:p>
      <w:pPr>
        <w:pStyle w:val="ListParagraph"/>
        <w:numPr>
          <w:ilvl w:val="0"/>
          <w:numId w:val="3"/>
        </w:numPr>
        <w:spacing w:after="80"/>
      </w:pPr>
      <w:r>
        <w:t xml:space="preserve">Filtra pelas categorias materiais: Fato Relevante, Comunicado ao Mercado, Aviso aos Acionistas, Assembleia, Calendário de Eventos Corporativos.</w:t>
      </w:r>
    </w:p>
    <w:p>
      <w:pPr>
        <w:pStyle w:val="ListParagraph"/>
        <w:numPr>
          <w:ilvl w:val="0"/>
          <w:numId w:val="3"/>
        </w:numPr>
        <w:spacing w:after="80"/>
      </w:pPr>
      <w:r>
        <w:t xml:space="preserve">Classifica cada evento em alta, média ou baixa materialidade. Termos críticos no assunto (covenant, auditor, RJ, penhora, etc.) escalam automaticamente para alta.</w:t>
      </w:r>
    </w:p>
    <w:p>
      <w:pPr>
        <w:pStyle w:val="ListParagraph"/>
        <w:numPr>
          <w:ilvl w:val="0"/>
          <w:numId w:val="3"/>
        </w:numPr>
        <w:spacing w:after="80"/>
      </w:pPr>
      <w:r>
        <w:t xml:space="preserve">Deduplica via fingerprint SHA-256 (CNPJ + data + categoria + assunto) — não alerta o mesmo evento duas vezes.</w:t>
      </w:r>
    </w:p>
    <w:p>
      <w:pPr>
        <w:pStyle w:val="ListParagraph"/>
        <w:numPr>
          <w:ilvl w:val="0"/>
          <w:numId w:val="3"/>
        </w:numPr>
        <w:spacing w:after="80"/>
      </w:pPr>
      <w:r>
        <w:t xml:space="preserve">Persiste em historico.csv (fonte-verdade) e regenera historico_eventos.xlsx com formatação condicional.</w:t>
      </w:r>
    </w:p>
    <w:p>
      <w:pPr>
        <w:pStyle w:val="ListParagraph"/>
        <w:numPr>
          <w:ilvl w:val="0"/>
          <w:numId w:val="3"/>
        </w:numPr>
        <w:spacing w:after="80"/>
      </w:pPr>
      <w:r>
        <w:t xml:space="preserve">Envia e-mail via Outlook para maria.vitoria@marvin.com.br: assunto verde se nada novo, vermelho com tabela de eventos se houver.</w:t>
      </w:r>
    </w:p>
    <w:p>
      <w:pPr>
        <w:pStyle w:val="ListParagraph"/>
        <w:numPr>
          <w:ilvl w:val="0"/>
          <w:numId w:val="3"/>
        </w:numPr>
        <w:spacing w:after="80"/>
      </w:pPr>
      <w:r>
        <w:t xml:space="preserve">Grava log da execução em logs/run_AAAAMMDD.log.</w:t>
      </w:r>
    </w:p>
    <w:p>
      <w:pPr>
        <w:pStyle w:val="Heading2"/>
        <w:spacing w:after="120" w:before="220"/>
      </w:pPr>
      <w:r>
        <w:rPr>
          <w:b/>
          <w:bCs/>
          <w:color w:val="2E75B6"/>
          <w:sz w:val="24"/>
          <w:szCs w:val="24"/>
        </w:rPr>
        <w:t xml:space="preserve">3.2. Componentes técnicos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sz w:val="18"/>
                <w:szCs w:val="18"/>
              </w:rPr>
              <w:t xml:space="preserve">Camada</w:t>
            </w:r>
          </w:p>
        </w:tc>
        <w:tc>
          <w:tcPr>
            <w:tcW w:type="dxa" w:w="636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sz w:val="18"/>
                <w:szCs w:val="18"/>
              </w:rPr>
              <w:t xml:space="preserve">Tecnologia / biblioteca</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Linguagem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Python 3.10+</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Coleta HTTP</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requests</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Manipulação de dados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pandas</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Geração de Excel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openpyxl</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Envio de e-mail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pywin32 (Outlook COM Automation)</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Agendamento</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Pasta de Inicialização do Windows</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Fonte de dados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Portal de Dados Abertos da CVM (dados.cvm.gov.br/IPE)</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Base regulatória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Resolução CVM 44/2021 — Fato Relevante</w:t>
            </w:r>
          </w:p>
        </w:tc>
      </w:tr>
    </w:tbl>
    <w:p>
      <w:pPr>
        <w:pStyle w:val="Heading2"/>
        <w:spacing w:after="120" w:before="220"/>
      </w:pPr>
      <w:r>
        <w:rPr>
          <w:b/>
          <w:bCs/>
          <w:color w:val="2E75B6"/>
          <w:sz w:val="24"/>
          <w:szCs w:val="24"/>
        </w:rPr>
        <w:t xml:space="preserve">3.3. Onde os arquivos vivem</w:t>
      </w:r>
    </w:p>
    <w:p>
      <w:pPr>
        <w:spacing w:after="120"/>
      </w:pPr>
      <w:r>
        <w:t xml:space="preserve">Caminho raiz na máquina da responsável:</w:t>
      </w:r>
    </w:p>
    <w:p>
      <w:pPr>
        <w:shd w:fill="F2F2F2" w:val="clear"/>
        <w:spacing w:after="160" w:before="60"/>
      </w:pPr>
      <w:r>
        <w:rPr>
          <w:rFonts w:ascii="Consolas" w:cs="Consolas" w:eastAsia="Consolas" w:hAnsi="Consolas"/>
          <w:sz w:val="18"/>
          <w:szCs w:val="18"/>
        </w:rPr>
        <w:t xml:space="preserve">C:\Users\MariaVitoria\OneDrive - Marvin\01. Marvin\Tarefas e Entregas\
03. Produtizar Contratos ICFs e IAFs\Monitoramento\Monitoramento - Fatos Relevantes\</w:t>
      </w:r>
    </w:p>
    <w:p>
      <w:pPr>
        <w:spacing w:after="120"/>
      </w:pPr>
      <w:r>
        <w:t xml:space="preserve">Estrutura interna da pasta: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sz w:val="18"/>
                <w:szCs w:val="18"/>
              </w:rPr>
              <w:t xml:space="preserve">Item</w:t>
            </w:r>
          </w:p>
        </w:tc>
        <w:tc>
          <w:tcPr>
            <w:tcW w:type="dxa" w:w="556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sz w:val="18"/>
                <w:szCs w:val="18"/>
              </w:rPr>
              <w:t xml:space="preserve">Descrição</w:t>
            </w:r>
          </w:p>
        </w:tc>
      </w:tr>
      <w:tr>
        <w:trPr>
          <w:tblHeader w:val="false"/>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monitor.py</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Script principal</w:t>
            </w:r>
          </w:p>
        </w:tc>
      </w:tr>
      <w:tr>
        <w:trPr>
          <w:tblHeader w:val="false"/>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watchlist.csv</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Lista de devedores monitorados (editável no Excel)</w:t>
            </w:r>
          </w:p>
        </w:tc>
      </w:tr>
      <w:tr>
        <w:trPr>
          <w:tblHeader w:val="false"/>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requirements.txt</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Dependências Python</w:t>
            </w:r>
          </w:p>
        </w:tc>
      </w:tr>
      <w:tr>
        <w:trPr>
          <w:tblHeader w:val="false"/>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run_weekly.bat</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Disparado pelo Windows no login</w:t>
            </w:r>
          </w:p>
        </w:tc>
      </w:tr>
      <w:tr>
        <w:trPr>
          <w:tblHeader w:val="false"/>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listar_emissores.py</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Utilitário para descobrir CNPJs corretos</w:t>
            </w:r>
          </w:p>
        </w:tc>
      </w:tr>
      <w:tr>
        <w:trPr>
          <w:tblHeader w:val="false"/>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historico/historico.csv</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Fonte-verdade auditável</w:t>
            </w:r>
          </w:p>
        </w:tc>
      </w:tr>
      <w:tr>
        <w:trPr>
          <w:tblHeader w:val="false"/>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historico/historico_eventos.xlsx</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Planilha visual</w:t>
            </w:r>
          </w:p>
        </w:tc>
      </w:tr>
      <w:tr>
        <w:trPr>
          <w:tblHeader w:val="false"/>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output/events_AAAAMMDD.json</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Snapshot de cada execução</w:t>
            </w:r>
          </w:p>
        </w:tc>
      </w:tr>
      <w:tr>
        <w:trPr>
          <w:tblHeader w:val="false"/>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state/seen_events.json</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Controle de deduplicação</w:t>
            </w:r>
          </w:p>
        </w:tc>
      </w:tr>
      <w:tr>
        <w:trPr>
          <w:tblHeader w:val="false"/>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logs/run_AAAAMMDD.log</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Log de cada execução</w:t>
            </w:r>
          </w:p>
        </w:tc>
      </w:tr>
      <w:tr>
        <w:trPr>
          <w:tblHeader w:val="false"/>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00. Relatório de Tarefa MVP/</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Esta pasta — contém este Word e o PDF padrão Marvin</w:t>
            </w:r>
          </w:p>
        </w:tc>
      </w:tr>
    </w:tbl>
    <w:p>
      <w:pPr>
        <w:pStyle w:val="Heading1"/>
        <w:spacing w:after="180" w:before="320"/>
      </w:pPr>
      <w:r>
        <w:rPr>
          <w:b/>
          <w:bCs/>
          <w:color w:val="2E75B6"/>
          <w:sz w:val="30"/>
          <w:szCs w:val="30"/>
        </w:rPr>
        <w:t xml:space="preserve">4. Como Roda Sozinho</w:t>
      </w:r>
    </w:p>
    <w:p>
      <w:pPr>
        <w:pStyle w:val="Heading2"/>
        <w:spacing w:after="120" w:before="220"/>
      </w:pPr>
      <w:r>
        <w:rPr>
          <w:b/>
          <w:bCs/>
          <w:color w:val="2E75B6"/>
          <w:sz w:val="24"/>
          <w:szCs w:val="24"/>
        </w:rPr>
        <w:t xml:space="preserve">4.1. Configuração atual: Pasta de Inicialização</w:t>
      </w:r>
    </w:p>
    <w:p>
      <w:pPr>
        <w:spacing w:after="120"/>
      </w:pPr>
      <w:r>
        <w:t xml:space="preserve">O sistema está configurado para rodar automaticamente toda vez que a máquina é ligada e a responsável faz login no Windows. Isso é feito por um atalho do run_weekly.bat dentro da Pasta de Inicialização do Windows (acessível via tecla Windows + R → digitar shell:startup → Enter).</w:t>
      </w:r>
    </w:p>
    <w:p>
      <w:pPr>
        <w:spacing w:after="120"/>
      </w:pPr>
      <w:r>
        <w:t xml:space="preserve">Vantagem: zero permissão administrativa exigida (não depende do TI da Marvin), zero dependência de senhas. Desvantagem: só roda enquanto a responsável estiver logada no Windows. Se ficar dias sem ligar, o lookback de 10 dias dá margem para recuperar o que foi perdido na próxima execução.</w:t>
      </w:r>
    </w:p>
    <w:p>
      <w:pPr>
        <w:pStyle w:val="Heading2"/>
        <w:spacing w:after="120" w:before="220"/>
      </w:pPr>
      <w:r>
        <w:rPr>
          <w:b/>
          <w:bCs/>
          <w:color w:val="2E75B6"/>
          <w:sz w:val="24"/>
          <w:szCs w:val="24"/>
        </w:rPr>
        <w:t xml:space="preserve">4.2. Por que não usamos o Agendador de Tarefas</w:t>
      </w:r>
    </w:p>
    <w:p>
      <w:pPr>
        <w:spacing w:after="120"/>
      </w:pPr>
      <w:r>
        <w:t xml:space="preserve">Tentamos configurar o Agendador de Tarefas do Windows para disparo em horário fixo (ex.: 14h diariamente), mas o ambiente corporativo da Marvin restringe permissões. A primeira tentativa retornou erro de credenciais. A segunda configuração (com 'Executar somente quando o usuário estiver conectado') ficou bloqueada por condições padrão do Windows (Launch condition not met).</w:t>
      </w:r>
    </w:p>
    <w:p>
      <w:pPr>
        <w:spacing w:after="120"/>
      </w:pPr>
      <w:r>
        <w:t xml:space="preserve">A Pasta de Inicialização foi o caminho pragmático — funciona sem TI, é confiável e cobre o caso de uso. Caso o time queira disparar em horário fixo no futuro, o passo a passo do Agendador está documentado no arquivo AGENDAMENTO.md dentro da pasta do projeto.</w:t>
      </w:r>
    </w:p>
    <w:p>
      <w:pPr>
        <w:pStyle w:val="Heading2"/>
        <w:spacing w:after="120" w:before="220"/>
      </w:pPr>
      <w:r>
        <w:rPr>
          <w:b/>
          <w:bCs/>
          <w:color w:val="2E75B6"/>
          <w:sz w:val="24"/>
          <w:szCs w:val="24"/>
        </w:rPr>
        <w:t xml:space="preserve">4.3. O que precisa estar rodando</w:t>
      </w:r>
    </w:p>
    <w:p>
      <w:pPr>
        <w:pStyle w:val="ListParagraph"/>
        <w:numPr>
          <w:ilvl w:val="0"/>
          <w:numId w:val="2"/>
        </w:numPr>
        <w:spacing w:after="80"/>
      </w:pPr>
      <w:r>
        <w:t xml:space="preserve">Computador da responsável ligado e logado no Windows.</w:t>
      </w:r>
    </w:p>
    <w:p>
      <w:pPr>
        <w:pStyle w:val="ListParagraph"/>
        <w:numPr>
          <w:ilvl w:val="0"/>
          <w:numId w:val="2"/>
        </w:numPr>
        <w:spacing w:after="80"/>
      </w:pPr>
      <w:r>
        <w:t xml:space="preserve">Outlook aberto (necessário para o e-mail diário sair via pywin32).</w:t>
      </w:r>
    </w:p>
    <w:p>
      <w:pPr>
        <w:pStyle w:val="ListParagraph"/>
        <w:numPr>
          <w:ilvl w:val="0"/>
          <w:numId w:val="2"/>
        </w:numPr>
        <w:spacing w:after="80"/>
      </w:pPr>
      <w:r>
        <w:t xml:space="preserve">Acesso à internet (o script chega em dados.cvm.gov.br).</w:t>
      </w:r>
    </w:p>
    <w:p>
      <w:pPr>
        <w:pStyle w:val="ListParagraph"/>
        <w:numPr>
          <w:ilvl w:val="0"/>
          <w:numId w:val="2"/>
        </w:numPr>
        <w:spacing w:after="80"/>
      </w:pPr>
      <w:r>
        <w:t xml:space="preserve">Python 3.10+ instalado com pandas, requests, openpyxl, pywin32.</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B800" w:sz="6"/>
              <w:left w:val="single" w:color="E6B800" w:sz="6"/>
              <w:bottom w:val="single" w:color="E6B800" w:sz="6"/>
              <w:right w:val="single" w:color="E6B800" w:sz="6"/>
            </w:tcBorders>
            <w:shd w:fill="FFF4CE" w:val="clear"/>
            <w:tcMar>
              <w:top w:type="dxa" w:w="120"/>
              <w:left w:type="dxa" w:w="200"/>
              <w:bottom w:type="dxa" w:w="120"/>
              <w:right w:type="dxa" w:w="200"/>
            </w:tcMar>
          </w:tcPr>
          <w:p>
            <w:r>
              <w:rPr>
                <w:b/>
                <w:bCs/>
                <w:color w:val="8B6914"/>
              </w:rPr>
              <w:t xml:space="preserve">ATENÇÃO: </w:t>
            </w:r>
            <w:r>
              <w:t xml:space="preserve">Se o Outlook não estiver aberto, o monitor ainda roda e atualiza a planilha, mas o e-mail diário não é enviado. O log mostra a falha, e na próxima execução com Outlook aberto o e-mail volta normalmente.</w:t>
            </w:r>
          </w:p>
        </w:tc>
      </w:tr>
    </w:tbl>
    <w:p>
      <w:pPr>
        <w:pStyle w:val="Heading1"/>
        <w:spacing w:after="180" w:before="320"/>
      </w:pPr>
      <w:r>
        <w:rPr>
          <w:b/>
          <w:bCs/>
          <w:color w:val="2E75B6"/>
          <w:sz w:val="30"/>
          <w:szCs w:val="30"/>
        </w:rPr>
        <w:t xml:space="preserve">5. Como Operar Sem a Responsável Atual</w:t>
      </w:r>
    </w:p>
    <w:p>
      <w:pPr>
        <w:pStyle w:val="Heading2"/>
        <w:spacing w:after="120" w:before="220"/>
      </w:pPr>
      <w:r>
        <w:rPr>
          <w:b/>
          <w:bCs/>
          <w:color w:val="2E75B6"/>
          <w:sz w:val="24"/>
          <w:szCs w:val="24"/>
        </w:rPr>
        <w:t xml:space="preserve">5.1. Manutenção rotineira</w:t>
      </w:r>
    </w:p>
    <w:p>
      <w:pPr>
        <w:pStyle w:val="Heading3"/>
        <w:spacing w:after="100" w:before="180"/>
      </w:pPr>
      <w:r>
        <w:rPr>
          <w:b/>
          <w:bCs/>
          <w:color w:val="1F3864"/>
          <w:sz w:val="22"/>
          <w:szCs w:val="22"/>
        </w:rPr>
        <w:t xml:space="preserve">Adicionar um novo devedor</w:t>
      </w:r>
    </w:p>
    <w:p>
      <w:pPr>
        <w:pStyle w:val="ListParagraph"/>
        <w:numPr>
          <w:ilvl w:val="0"/>
          <w:numId w:val="3"/>
        </w:numPr>
        <w:spacing w:after="80"/>
      </w:pPr>
      <w:r>
        <w:t xml:space="preserve">Abrir o arquivo watchlist.csv no Excel.</w:t>
      </w:r>
    </w:p>
    <w:p>
      <w:pPr>
        <w:pStyle w:val="ListParagraph"/>
        <w:numPr>
          <w:ilvl w:val="0"/>
          <w:numId w:val="3"/>
        </w:numPr>
        <w:spacing w:after="80"/>
      </w:pPr>
      <w:r>
        <w:t xml:space="preserve">Adicionar uma nova linha com o CNPJ do devedor (qualquer filial — o matching é por raiz).</w:t>
      </w:r>
    </w:p>
    <w:p>
      <w:pPr>
        <w:pStyle w:val="ListParagraph"/>
        <w:numPr>
          <w:ilvl w:val="0"/>
          <w:numId w:val="3"/>
        </w:numPr>
        <w:spacing w:after="80"/>
      </w:pPr>
      <w:r>
        <w:t xml:space="preserve">Salvar (manter formato CSV separado por vírgulas).</w:t>
      </w:r>
    </w:p>
    <w:p>
      <w:pPr>
        <w:pStyle w:val="ListParagraph"/>
        <w:numPr>
          <w:ilvl w:val="0"/>
          <w:numId w:val="3"/>
        </w:numPr>
        <w:spacing w:after="80"/>
      </w:pPr>
      <w:r>
        <w:t xml:space="preserve">Pronto. Na próxima execução, o devedor entra automaticamente no pipeline.</w:t>
      </w:r>
    </w:p>
    <w:p>
      <w:pPr>
        <w:pStyle w:val="Heading3"/>
        <w:spacing w:after="100" w:before="180"/>
      </w:pPr>
      <w:r>
        <w:rPr>
          <w:b/>
          <w:bCs/>
          <w:color w:val="1F3864"/>
          <w:sz w:val="22"/>
          <w:szCs w:val="22"/>
        </w:rPr>
        <w:t xml:space="preserve">Remover um devedor</w:t>
      </w:r>
    </w:p>
    <w:p>
      <w:pPr>
        <w:pStyle w:val="ListParagraph"/>
        <w:numPr>
          <w:ilvl w:val="0"/>
          <w:numId w:val="3"/>
        </w:numPr>
        <w:spacing w:after="80"/>
      </w:pPr>
      <w:r>
        <w:t xml:space="preserve">Abrir watchlist.csv.</w:t>
      </w:r>
    </w:p>
    <w:p>
      <w:pPr>
        <w:pStyle w:val="ListParagraph"/>
        <w:numPr>
          <w:ilvl w:val="0"/>
          <w:numId w:val="3"/>
        </w:numPr>
        <w:spacing w:after="80"/>
      </w:pPr>
      <w:r>
        <w:t xml:space="preserve">Apagar a linha do devedor.</w:t>
      </w:r>
    </w:p>
    <w:p>
      <w:pPr>
        <w:pStyle w:val="ListParagraph"/>
        <w:numPr>
          <w:ilvl w:val="0"/>
          <w:numId w:val="3"/>
        </w:numPr>
        <w:spacing w:after="80"/>
      </w:pPr>
      <w:r>
        <w:t xml:space="preserve">Salvar. Os eventos passados continuam no histórico, só não há novos alertas.</w:t>
      </w:r>
    </w:p>
    <w:p>
      <w:pPr>
        <w:pStyle w:val="Heading3"/>
        <w:spacing w:after="100" w:before="180"/>
      </w:pPr>
      <w:r>
        <w:rPr>
          <w:b/>
          <w:bCs/>
          <w:color w:val="1F3864"/>
          <w:sz w:val="22"/>
          <w:szCs w:val="22"/>
        </w:rPr>
        <w:t xml:space="preserve">Adicionar um destinatário no e-mail</w:t>
      </w:r>
    </w:p>
    <w:p>
      <w:pPr>
        <w:pStyle w:val="ListParagraph"/>
        <w:numPr>
          <w:ilvl w:val="0"/>
          <w:numId w:val="3"/>
        </w:numPr>
        <w:spacing w:after="80"/>
      </w:pPr>
      <w:r>
        <w:t xml:space="preserve">Abrir monitor.py em qualquer editor de texto.</w:t>
      </w:r>
    </w:p>
    <w:p>
      <w:pPr>
        <w:pStyle w:val="ListParagraph"/>
        <w:numPr>
          <w:ilvl w:val="0"/>
          <w:numId w:val="3"/>
        </w:numPr>
        <w:spacing w:after="80"/>
      </w:pPr>
      <w:r>
        <w:t xml:space="preserve">Localizar a linha EMAIL_CC = "" (perto do início do arquivo).</w:t>
      </w:r>
    </w:p>
    <w:p>
      <w:pPr>
        <w:pStyle w:val="ListParagraph"/>
        <w:numPr>
          <w:ilvl w:val="0"/>
          <w:numId w:val="3"/>
        </w:numPr>
        <w:spacing w:after="80"/>
      </w:pPr>
      <w:r>
        <w:t xml:space="preserve">Substituir por: </w:t>
      </w:r>
      <w:r>
        <w:rPr>
          <w:rFonts w:ascii="Consolas" w:cs="Consolas" w:eastAsia="Consolas" w:hAnsi="Consolas"/>
          <w:sz w:val="18"/>
          <w:szCs w:val="18"/>
        </w:rPr>
        <w:t xml:space="preserve">EMAIL_CC = "outra.pessoa@marvin.com.br;outra2@marvin.com.br"</w:t>
      </w:r>
    </w:p>
    <w:p>
      <w:pPr>
        <w:pStyle w:val="ListParagraph"/>
        <w:numPr>
          <w:ilvl w:val="0"/>
          <w:numId w:val="3"/>
        </w:numPr>
        <w:spacing w:after="80"/>
      </w:pPr>
      <w:r>
        <w:t xml:space="preserve">Salvar. Próxima execução já manda em cópia.</w:t>
      </w:r>
    </w:p>
    <w:p>
      <w:pPr>
        <w:pStyle w:val="Heading3"/>
        <w:spacing w:after="100" w:before="180"/>
      </w:pPr>
      <w:r>
        <w:rPr>
          <w:b/>
          <w:bCs/>
          <w:color w:val="1F3864"/>
          <w:sz w:val="22"/>
          <w:szCs w:val="22"/>
        </w:rPr>
        <w:t xml:space="preserve">O que checar mensalmente</w:t>
      </w:r>
    </w:p>
    <w:p>
      <w:pPr>
        <w:pStyle w:val="ListParagraph"/>
        <w:numPr>
          <w:ilvl w:val="0"/>
          <w:numId w:val="2"/>
        </w:numPr>
        <w:spacing w:after="80"/>
      </w:pPr>
      <w:r>
        <w:t xml:space="preserve">Abrir historico_eventos.xlsx e conferir a aba Resumo: nenhuma empresa deveria sumir do mapa abruptamente.</w:t>
      </w:r>
    </w:p>
    <w:p>
      <w:pPr>
        <w:pStyle w:val="ListParagraph"/>
        <w:numPr>
          <w:ilvl w:val="0"/>
          <w:numId w:val="2"/>
        </w:numPr>
        <w:spacing w:after="80"/>
      </w:pPr>
      <w:r>
        <w:t xml:space="preserve">Conferir a pasta logs/ — deve haver um log para cada dia em que a máquina foi ligada.</w:t>
      </w:r>
    </w:p>
    <w:p>
      <w:pPr>
        <w:pStyle w:val="ListParagraph"/>
        <w:numPr>
          <w:ilvl w:val="0"/>
          <w:numId w:val="2"/>
        </w:numPr>
        <w:spacing w:after="80"/>
      </w:pPr>
      <w:r>
        <w:t xml:space="preserve">Validar que o e-mail diário continua chegando. Sem e-mail por 3 dias úteis seguidos = investigar.</w:t>
      </w:r>
    </w:p>
    <w:p>
      <w:pPr>
        <w:pStyle w:val="ListParagraph"/>
        <w:numPr>
          <w:ilvl w:val="0"/>
          <w:numId w:val="2"/>
        </w:numPr>
        <w:spacing w:after="80"/>
      </w:pPr>
      <w:r>
        <w:t xml:space="preserve">Cruzar a watchlist com a lista atual de ICFs ativos — adicionar/remover conforme entrada e saída de operações.</w:t>
      </w:r>
    </w:p>
    <w:p>
      <w:pPr>
        <w:pStyle w:val="Heading2"/>
        <w:spacing w:after="120" w:before="220"/>
      </w:pPr>
      <w:r>
        <w:rPr>
          <w:b/>
          <w:bCs/>
          <w:color w:val="2E75B6"/>
          <w:sz w:val="24"/>
          <w:szCs w:val="24"/>
        </w:rPr>
        <w:t xml:space="preserve">5.2. Quem pode operar</w:t>
      </w:r>
    </w:p>
    <w:p>
      <w:pPr>
        <w:spacing w:after="120"/>
      </w:pPr>
      <w:r>
        <w:t xml:space="preserve">Qualquer pessoa do time de Risco com acesso ao computador da responsável atual (ou cópia da pasta) pode operar. A operação rotineira (adicionar/remover devedor, ler e-mail, abrir planilha) não exige conhecimento técnico — basta saber editar um CSV no Excel.</w:t>
      </w:r>
    </w:p>
    <w:p>
      <w:pPr>
        <w:spacing w:after="120"/>
      </w:pPr>
      <w:r>
        <w:t xml:space="preserve">Para mudanças no código (ex.: adicionar nova categoria CVM, mudar regras de classificação, integrar com Slack), exige Python básico. Toda a documentação técnica está no arquivo spec.md dentro da pasta do projeto.</w:t>
      </w:r>
    </w:p>
    <w:p>
      <w:pPr>
        <w:pStyle w:val="Heading1"/>
        <w:spacing w:after="180" w:before="320"/>
      </w:pPr>
      <w:r>
        <w:rPr>
          <w:b/>
          <w:bCs/>
          <w:color w:val="2E75B6"/>
          <w:sz w:val="30"/>
          <w:szCs w:val="30"/>
        </w:rPr>
        <w:t xml:space="preserve">6. Plano de Sucessão</w:t>
      </w:r>
    </w:p>
    <w:p>
      <w:pPr>
        <w:spacing w:after="120"/>
      </w:pPr>
      <w:r>
        <w:t xml:space="preserve">Esta seção descreve como manter o monitoramento operacional caso a responsável atual saia da Marvin, seja por troca de função, licença ou desligamento.</w:t>
      </w:r>
    </w:p>
    <w:p>
      <w:pPr>
        <w:pStyle w:val="Heading2"/>
        <w:spacing w:after="120" w:before="220"/>
      </w:pPr>
      <w:r>
        <w:rPr>
          <w:b/>
          <w:bCs/>
          <w:color w:val="2E75B6"/>
          <w:sz w:val="24"/>
          <w:szCs w:val="24"/>
        </w:rPr>
        <w:t xml:space="preserve">6.1. Cenário 1: Saída programada</w:t>
      </w:r>
    </w:p>
    <w:p>
      <w:pPr>
        <w:spacing w:after="120"/>
      </w:pPr>
      <w:r>
        <w:t xml:space="preserve">Com aviso prévio, o handover é simples:</w:t>
      </w:r>
    </w:p>
    <w:p>
      <w:pPr>
        <w:pStyle w:val="ListParagraph"/>
        <w:numPr>
          <w:ilvl w:val="0"/>
          <w:numId w:val="3"/>
        </w:numPr>
        <w:spacing w:after="80"/>
      </w:pPr>
      <w:r>
        <w:t xml:space="preserve">Identificar o substituto (idealmente alguém do time de Risco).</w:t>
      </w:r>
    </w:p>
    <w:p>
      <w:pPr>
        <w:pStyle w:val="ListParagraph"/>
        <w:numPr>
          <w:ilvl w:val="0"/>
          <w:numId w:val="3"/>
        </w:numPr>
        <w:spacing w:after="80"/>
      </w:pPr>
      <w:r>
        <w:t xml:space="preserve">Copiar a pasta inteira do projeto para o computador do substituto, no caminho equivalente.</w:t>
      </w:r>
    </w:p>
    <w:p>
      <w:pPr>
        <w:pStyle w:val="ListParagraph"/>
        <w:numPr>
          <w:ilvl w:val="0"/>
          <w:numId w:val="3"/>
        </w:numPr>
        <w:spacing w:after="80"/>
      </w:pPr>
      <w:r>
        <w:t xml:space="preserve">Instalar Python 3.10+ no novo computador (com 'Add Python to PATH' marcado).</w:t>
      </w:r>
    </w:p>
    <w:p>
      <w:pPr>
        <w:pStyle w:val="ListParagraph"/>
        <w:numPr>
          <w:ilvl w:val="0"/>
          <w:numId w:val="3"/>
        </w:numPr>
        <w:spacing w:after="80"/>
      </w:pPr>
      <w:r>
        <w:t xml:space="preserve">Rodar uma vez no Prompt de Comando: </w:t>
      </w:r>
      <w:r>
        <w:rPr>
          <w:rFonts w:ascii="Consolas" w:cs="Consolas" w:eastAsia="Consolas" w:hAnsi="Consolas"/>
          <w:sz w:val="18"/>
          <w:szCs w:val="18"/>
        </w:rPr>
        <w:t xml:space="preserve">python -m pip install -r requirements.txt</w:t>
      </w:r>
    </w:p>
    <w:p>
      <w:pPr>
        <w:pStyle w:val="ListParagraph"/>
        <w:numPr>
          <w:ilvl w:val="0"/>
          <w:numId w:val="3"/>
        </w:numPr>
        <w:spacing w:after="80"/>
      </w:pPr>
      <w:r>
        <w:t xml:space="preserve">Editar o run_weekly.bat e atualizar a variável PYTHON_EXE para o caminho real do python.exe na nova máquina.</w:t>
      </w:r>
    </w:p>
    <w:p>
      <w:pPr>
        <w:pStyle w:val="ListParagraph"/>
        <w:numPr>
          <w:ilvl w:val="0"/>
          <w:numId w:val="3"/>
        </w:numPr>
        <w:spacing w:after="80"/>
      </w:pPr>
      <w:r>
        <w:t xml:space="preserve">Editar a constante EMAIL_TO no monitor.py para o e-mail do novo responsável.</w:t>
      </w:r>
    </w:p>
    <w:p>
      <w:pPr>
        <w:pStyle w:val="ListParagraph"/>
        <w:numPr>
          <w:ilvl w:val="0"/>
          <w:numId w:val="3"/>
        </w:numPr>
        <w:spacing w:after="80"/>
      </w:pPr>
      <w:r>
        <w:t xml:space="preserve">Criar um atalho do run_weekly.bat dentro da Pasta de Inicialização (shell:startup) do novo computador.</w:t>
      </w:r>
    </w:p>
    <w:p>
      <w:pPr>
        <w:pStyle w:val="ListParagraph"/>
        <w:numPr>
          <w:ilvl w:val="0"/>
          <w:numId w:val="3"/>
        </w:numPr>
        <w:spacing w:after="80"/>
      </w:pPr>
      <w:r>
        <w:t xml:space="preserve">Rodar uma vez manualmente para validar (python monitor.py --lookback 10). Se receber e-mail, está tudo certo.</w:t>
      </w:r>
    </w:p>
    <w:p>
      <w:pPr>
        <w:pStyle w:val="Heading2"/>
        <w:spacing w:after="120" w:before="220"/>
      </w:pPr>
      <w:r>
        <w:rPr>
          <w:b/>
          <w:bCs/>
          <w:color w:val="2E75B6"/>
          <w:sz w:val="24"/>
          <w:szCs w:val="24"/>
        </w:rPr>
        <w:t xml:space="preserve">6.2. Cenário 2: Saída imediata ou emergencial</w:t>
      </w:r>
    </w:p>
    <w:p>
      <w:pPr>
        <w:spacing w:after="120"/>
      </w:pPr>
      <w:r>
        <w:t xml:space="preserve">Sem handover prévio, o sistema continua rodando enquanto o computador da responsável estiver ligado. Mas inevitavelmente em algum momento ele desliga. Procedimento de recuperação:</w:t>
      </w:r>
    </w:p>
    <w:p>
      <w:pPr>
        <w:pStyle w:val="ListParagraph"/>
        <w:numPr>
          <w:ilvl w:val="0"/>
          <w:numId w:val="3"/>
        </w:numPr>
        <w:spacing w:after="80"/>
      </w:pPr>
      <w:r>
        <w:t xml:space="preserve">O TI da Marvin acessa o OneDrive da responsável (todos os arquivos do projeto estão lá, sincronizados).</w:t>
      </w:r>
    </w:p>
    <w:p>
      <w:pPr>
        <w:pStyle w:val="ListParagraph"/>
        <w:numPr>
          <w:ilvl w:val="0"/>
          <w:numId w:val="3"/>
        </w:numPr>
        <w:spacing w:after="80"/>
      </w:pPr>
      <w:r>
        <w:t xml:space="preserve">Copia a pasta 'Monitoramento - Fatos Relevantes' inteira para uma nova máquina ou mantém o histórico.</w:t>
      </w:r>
    </w:p>
    <w:p>
      <w:pPr>
        <w:pStyle w:val="ListParagraph"/>
        <w:numPr>
          <w:ilvl w:val="0"/>
          <w:numId w:val="3"/>
        </w:numPr>
        <w:spacing w:after="80"/>
      </w:pPr>
      <w:r>
        <w:t xml:space="preserve">Aplica os passos do Cenário 1 acima a partir do passo 3.</w:t>
      </w:r>
    </w:p>
    <w:p>
      <w:pPr>
        <w:pStyle w:val="ListParagraph"/>
        <w:numPr>
          <w:ilvl w:val="0"/>
          <w:numId w:val="3"/>
        </w:numPr>
        <w:spacing w:after="80"/>
      </w:pPr>
      <w:r>
        <w:t xml:space="preserve">O histórico de eventos não é perdido — historico.csv e o xlsx continuam no OneDrive.</w:t>
      </w:r>
    </w:p>
    <w:p>
      <w:pPr>
        <w:pStyle w:val="Heading2"/>
        <w:spacing w:after="120" w:before="220"/>
      </w:pPr>
      <w:r>
        <w:rPr>
          <w:b/>
          <w:bCs/>
          <w:color w:val="2E75B6"/>
          <w:sz w:val="24"/>
          <w:szCs w:val="24"/>
        </w:rPr>
        <w:t xml:space="preserve">6.3. Mudança de máquina</w:t>
      </w:r>
    </w:p>
    <w:p>
      <w:pPr>
        <w:spacing w:after="120"/>
      </w:pPr>
      <w:r>
        <w:t xml:space="preserve">Para migrar o monitor para uma máquina diferente da atual, os passos são os mesmos do Cenário 1. A pasta do projeto é portátil — sem dependências de banco de dados ou serviços externos. Basta copiar.</w:t>
      </w:r>
    </w:p>
    <w:p>
      <w:pPr>
        <w:pStyle w:val="Heading2"/>
        <w:spacing w:after="120" w:before="220"/>
      </w:pPr>
      <w:r>
        <w:rPr>
          <w:b/>
          <w:bCs/>
          <w:color w:val="2E75B6"/>
          <w:sz w:val="24"/>
          <w:szCs w:val="24"/>
        </w:rPr>
        <w:t xml:space="preserve">6.4. Tornar o sistema 100% autônomo (Fase 2)</w:t>
      </w:r>
    </w:p>
    <w:p>
      <w:pPr>
        <w:spacing w:after="120"/>
      </w:pPr>
      <w:r>
        <w:t xml:space="preserve">A solução atual depende do computador da responsável estar ligado. Para eliminar essa dependência, a evolução natural é migrar a execução para a nuvem, seguindo o mesmo padrão do Monitoramento de Ratings da Marvin (GitHub Actions + ClickUp). Esforço estimado: 1 a 2 semanas de engenharia. Custo: zero (GitHub Actions tem tier gratuito amplo e ClickUp já está contratado).</w:t>
      </w:r>
    </w:p>
    <w:p>
      <w:pPr>
        <w:spacing w:after="120"/>
      </w:pPr>
      <w:r>
        <w:t xml:space="preserve">Vantagens da migração: roda sozinho mesmo com qualquer máquina desligada; alertas viram task no ClickUp (igual aos outros monitoramentos); auditoria via Git; testes unitários automatizados; e-mail vem do ClickUp sem dependência de Outlook ou SMTP.</w:t>
      </w:r>
    </w:p>
    <w:p>
      <w:pPr>
        <w:pStyle w:val="Heading1"/>
        <w:spacing w:after="180" w:before="320"/>
      </w:pPr>
      <w:r>
        <w:rPr>
          <w:b/>
          <w:bCs/>
          <w:color w:val="2E75B6"/>
          <w:sz w:val="30"/>
          <w:szCs w:val="30"/>
        </w:rPr>
        <w:t xml:space="preserve">7. Roadmap de Evoluções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860"/>
        <w:gridCol w:w="2000"/>
      </w:tblGrid>
      <w:tr>
        <w:trPr>
          <w:tblHeader/>
        </w:trPr>
        <w:tc>
          <w:tcPr>
            <w:tcW w:type="dxa" w:w="15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sz w:val="18"/>
                <w:szCs w:val="18"/>
              </w:rPr>
              <w:t xml:space="preserve">Fase</w:t>
            </w:r>
          </w:p>
        </w:tc>
        <w:tc>
          <w:tcPr>
            <w:tcW w:type="dxa" w:w="586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sz w:val="18"/>
                <w:szCs w:val="18"/>
              </w:rPr>
              <w:t xml:space="preserve">Escopo</w:t>
            </w:r>
          </w:p>
        </w:tc>
        <w:tc>
          <w:tcPr>
            <w:tcW w:type="dxa" w:w="20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sz w:val="18"/>
                <w:szCs w:val="18"/>
              </w:rPr>
              <w:t xml:space="preserve">Esforço estimado</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1 (atual)</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MVP local rodando na máquina da responsável; fontes CVM IPE; e-mail via Outlook</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Concluído</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Migração para GitHub Actions + ClickUp (autonomia total da máquina)</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1 a 2 semanas eng</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Cobertura de privados via DataJud (processos judiciais) + DOU (publicações oficiais)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3 a 4 semanas eng</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Classificação refinada via LLM (Claude Haiku) — reduz falso positivo</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3 a 5 dias eng</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Dashboard cliente-facing — credor vê eventos do devedor lado a lado com o ICG</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3 a 4 semanas eng</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Integração com bureau (Serasa/Boa Vista) para situação cadastral em tempo real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negociação contratual</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Modelo preditivo de deterioração combinando sinal externo + interno (volume transacional)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ciclo de pesquisa</w:t>
            </w:r>
          </w:p>
        </w:tc>
      </w:tr>
    </w:tbl>
    <w:p>
      <w:pPr>
        <w:pStyle w:val="Heading1"/>
        <w:spacing w:after="180" w:before="320"/>
      </w:pPr>
      <w:r>
        <w:rPr>
          <w:b/>
          <w:bCs/>
          <w:color w:val="2E75B6"/>
          <w:sz w:val="30"/>
          <w:szCs w:val="30"/>
        </w:rPr>
        <w:t xml:space="preserve">8. Anexos</w:t>
      </w:r>
    </w:p>
    <w:p>
      <w:pPr>
        <w:pStyle w:val="Heading2"/>
        <w:spacing w:after="120" w:before="220"/>
      </w:pPr>
      <w:r>
        <w:rPr>
          <w:b/>
          <w:bCs/>
          <w:color w:val="2E75B6"/>
          <w:sz w:val="24"/>
          <w:szCs w:val="24"/>
        </w:rPr>
        <w:t xml:space="preserve">8.1. Comandos úteis</w:t>
      </w:r>
    </w:p>
    <w:p>
      <w:pPr>
        <w:spacing w:after="120"/>
      </w:pPr>
      <w:r>
        <w:t xml:space="preserve">Rodar manualmente (sem enviar e-mail):</w:t>
      </w:r>
    </w:p>
    <w:p>
      <w:pPr>
        <w:shd w:fill="F2F2F2" w:val="clear"/>
        <w:spacing w:after="160" w:before="60"/>
      </w:pPr>
      <w:r>
        <w:rPr>
          <w:rFonts w:ascii="Consolas" w:cs="Consolas" w:eastAsia="Consolas" w:hAnsi="Consolas"/>
          <w:sz w:val="18"/>
          <w:szCs w:val="18"/>
        </w:rPr>
        <w:t xml:space="preserve">python monitor.py --test</w:t>
      </w:r>
    </w:p>
    <w:p>
      <w:pPr>
        <w:spacing w:after="120"/>
      </w:pPr>
      <w:r>
        <w:t xml:space="preserve">Rodar manualmente (com e-mail):</w:t>
      </w:r>
    </w:p>
    <w:p>
      <w:pPr>
        <w:shd w:fill="F2F2F2" w:val="clear"/>
        <w:spacing w:after="160" w:before="60"/>
      </w:pPr>
      <w:r>
        <w:rPr>
          <w:rFonts w:ascii="Consolas" w:cs="Consolas" w:eastAsia="Consolas" w:hAnsi="Consolas"/>
          <w:sz w:val="18"/>
          <w:szCs w:val="18"/>
        </w:rPr>
        <w:t xml:space="preserve">python monitor.py --lookback 10</w:t>
      </w:r>
    </w:p>
    <w:p>
      <w:pPr>
        <w:spacing w:after="120"/>
      </w:pPr>
      <w:r>
        <w:t xml:space="preserve">Rodar backfill inicial (60 dias para popular histórico):</w:t>
      </w:r>
    </w:p>
    <w:p>
      <w:pPr>
        <w:shd w:fill="F2F2F2" w:val="clear"/>
        <w:spacing w:after="160" w:before="60"/>
      </w:pPr>
      <w:r>
        <w:rPr>
          <w:rFonts w:ascii="Consolas" w:cs="Consolas" w:eastAsia="Consolas" w:hAnsi="Consolas"/>
          <w:sz w:val="18"/>
          <w:szCs w:val="18"/>
        </w:rPr>
        <w:t xml:space="preserve">python monitor.py --lookback 60</w:t>
      </w:r>
    </w:p>
    <w:p>
      <w:pPr>
        <w:spacing w:after="120"/>
      </w:pPr>
      <w:r>
        <w:t xml:space="preserve">Listar empresas mais ativas no IPE da CVM (descobrir CNPJs corretos):</w:t>
      </w:r>
    </w:p>
    <w:p>
      <w:pPr>
        <w:shd w:fill="F2F2F2" w:val="clear"/>
        <w:spacing w:after="160" w:before="60"/>
      </w:pPr>
      <w:r>
        <w:rPr>
          <w:rFonts w:ascii="Consolas" w:cs="Consolas" w:eastAsia="Consolas" w:hAnsi="Consolas"/>
          <w:sz w:val="18"/>
          <w:szCs w:val="18"/>
        </w:rPr>
        <w:t xml:space="preserve">python listar_emissores.py</w:t>
      </w:r>
    </w:p>
    <w:p>
      <w:pPr>
        <w:spacing w:after="120"/>
      </w:pPr>
      <w:r>
        <w:t xml:space="preserve">Reinstalar dependências (caso a máquina seja trocada):</w:t>
      </w:r>
    </w:p>
    <w:p>
      <w:pPr>
        <w:shd w:fill="F2F2F2" w:val="clear"/>
        <w:spacing w:after="160" w:before="60"/>
      </w:pPr>
      <w:r>
        <w:rPr>
          <w:rFonts w:ascii="Consolas" w:cs="Consolas" w:eastAsia="Consolas" w:hAnsi="Consolas"/>
          <w:sz w:val="18"/>
          <w:szCs w:val="18"/>
        </w:rPr>
        <w:t xml:space="preserve">python -m pip install -r requirements.txt</w:t>
      </w:r>
    </w:p>
    <w:p>
      <w:pPr>
        <w:pStyle w:val="Heading2"/>
        <w:spacing w:after="120" w:before="220"/>
      </w:pPr>
      <w:r>
        <w:rPr>
          <w:b/>
          <w:bCs/>
          <w:color w:val="2E75B6"/>
          <w:sz w:val="24"/>
          <w:szCs w:val="24"/>
        </w:rPr>
        <w:t xml:space="preserve">8.2. Documentação relacionada</w:t>
      </w:r>
    </w:p>
    <w:p>
      <w:pPr>
        <w:pStyle w:val="ListParagraph"/>
        <w:numPr>
          <w:ilvl w:val="0"/>
          <w:numId w:val="2"/>
        </w:numPr>
        <w:spacing w:after="80"/>
      </w:pPr>
      <w:r>
        <w:t xml:space="preserve">Manual técnico no padrão Marvin: 2026.04.24 - Monitoramento Automatico - Fatos Relevantes CVM.pdf (mesma pasta deste relatório)</w:t>
      </w:r>
    </w:p>
    <w:p>
      <w:pPr>
        <w:pStyle w:val="ListParagraph"/>
        <w:numPr>
          <w:ilvl w:val="0"/>
          <w:numId w:val="2"/>
        </w:numPr>
        <w:spacing w:after="80"/>
      </w:pPr>
      <w:r>
        <w:t xml:space="preserve">Especificação técnica: spec.md (na raiz da pasta do projeto)</w:t>
      </w:r>
    </w:p>
    <w:p>
      <w:pPr>
        <w:pStyle w:val="ListParagraph"/>
        <w:numPr>
          <w:ilvl w:val="0"/>
          <w:numId w:val="2"/>
        </w:numPr>
        <w:spacing w:after="80"/>
      </w:pPr>
      <w:r>
        <w:t xml:space="preserve">README operacional: README.md</w:t>
      </w:r>
    </w:p>
    <w:p>
      <w:pPr>
        <w:pStyle w:val="ListParagraph"/>
        <w:numPr>
          <w:ilvl w:val="0"/>
          <w:numId w:val="2"/>
        </w:numPr>
        <w:spacing w:after="80"/>
      </w:pPr>
      <w:r>
        <w:t xml:space="preserve">Instruções para Agendador de Tarefas: AGENDAMENTO.md</w:t>
      </w:r>
    </w:p>
    <w:p>
      <w:pPr>
        <w:pStyle w:val="ListParagraph"/>
        <w:numPr>
          <w:ilvl w:val="0"/>
          <w:numId w:val="2"/>
        </w:numPr>
        <w:spacing w:after="80"/>
      </w:pPr>
      <w:r>
        <w:t xml:space="preserve">Manuais dos outros monitoramentos da Marvin (Poderes, JUCESP, Ratings) — pasta superior</w:t>
      </w:r>
    </w:p>
    <w:p>
      <w:pPr>
        <w:pStyle w:val="Heading2"/>
        <w:spacing w:after="120" w:before="220"/>
      </w:pPr>
      <w:r>
        <w:rPr>
          <w:b/>
          <w:bCs/>
          <w:color w:val="2E75B6"/>
          <w:sz w:val="24"/>
          <w:szCs w:val="24"/>
        </w:rPr>
        <w:t xml:space="preserve">8.3. Referências regulatórias e técnicas</w:t>
      </w:r>
    </w:p>
    <w:p>
      <w:pPr>
        <w:pStyle w:val="ListParagraph"/>
        <w:numPr>
          <w:ilvl w:val="0"/>
          <w:numId w:val="2"/>
        </w:numPr>
        <w:spacing w:after="80"/>
      </w:pPr>
      <w:r>
        <w:t xml:space="preserve">Resolução CVM 44/2021 — define o que é Fato Relevante e a obrigação de divulgação.</w:t>
      </w:r>
    </w:p>
    <w:p>
      <w:pPr>
        <w:pStyle w:val="ListParagraph"/>
        <w:numPr>
          <w:ilvl w:val="0"/>
          <w:numId w:val="2"/>
        </w:numPr>
        <w:spacing w:after="80"/>
      </w:pPr>
      <w:r>
        <w:t xml:space="preserve">Portal de Dados Abertos da CVM: dados.cvm.gov.br</w:t>
      </w:r>
    </w:p>
    <w:p>
      <w:pPr>
        <w:pStyle w:val="ListParagraph"/>
        <w:numPr>
          <w:ilvl w:val="0"/>
          <w:numId w:val="2"/>
        </w:numPr>
        <w:spacing w:after="80"/>
      </w:pPr>
      <w:r>
        <w:t xml:space="preserve">Sistema RAD (Recebimento de Documentos) da CVM: www.rad.cvm.gov.br</w:t>
      </w:r>
    </w:p>
    <w:p>
      <w:pPr>
        <w:pStyle w:val="Heading2"/>
        <w:spacing w:after="120" w:before="220"/>
      </w:pPr>
      <w:r>
        <w:rPr>
          <w:b/>
          <w:bCs/>
          <w:color w:val="2E75B6"/>
          <w:sz w:val="24"/>
          <w:szCs w:val="24"/>
        </w:rPr>
        <w:t xml:space="preserve">8.4. Decisões importantes registradas</w:t>
      </w:r>
    </w:p>
    <w:p>
      <w:pPr>
        <w:pStyle w:val="ListParagraph"/>
        <w:numPr>
          <w:ilvl w:val="0"/>
          <w:numId w:val="2"/>
        </w:numPr>
        <w:spacing w:after="80"/>
      </w:pPr>
      <w:r>
        <w:rPr>
          <w:b/>
          <w:bCs/>
        </w:rPr>
        <w:t xml:space="preserve">Matching por raiz de CNPJ: </w:t>
      </w:r>
      <w:r>
        <w:t xml:space="preserve">a CVM registra eventos pela matriz da companhia listada (geralmente /0001-XX), enquanto os ICFs da Marvin frequentemente apontam para filiais. Comparar pelos 8 primeiros dígitos resolve essa fricção sem precisar adivinhar o CNPJ exato.</w:t>
      </w:r>
    </w:p>
    <w:p>
      <w:pPr>
        <w:pStyle w:val="ListParagraph"/>
        <w:numPr>
          <w:ilvl w:val="0"/>
          <w:numId w:val="2"/>
        </w:numPr>
        <w:spacing w:after="80"/>
      </w:pPr>
      <w:r>
        <w:rPr>
          <w:b/>
          <w:bCs/>
        </w:rPr>
        <w:t xml:space="preserve">Dedup por fingerprint SHA-256: </w:t>
      </w:r>
      <w:r>
        <w:t xml:space="preserve">escolhido em vez de chave composta porque é estável a pequenas variações de formatação e protege contra realimentações com lookback sobreposto.</w:t>
      </w:r>
    </w:p>
    <w:p>
      <w:pPr>
        <w:pStyle w:val="ListParagraph"/>
        <w:numPr>
          <w:ilvl w:val="0"/>
          <w:numId w:val="2"/>
        </w:numPr>
        <w:spacing w:after="80"/>
      </w:pPr>
      <w:r>
        <w:rPr>
          <w:b/>
          <w:bCs/>
        </w:rPr>
        <w:t xml:space="preserve">Lookback default de 10 dias: </w:t>
      </w:r>
      <w:r>
        <w:t xml:space="preserve">compromisso entre cobertura (recuperar dias perdidos por máquina desligada) e custo (volume de filtragem). Pode ser ajustado pela flag --lookback.</w:t>
      </w:r>
    </w:p>
    <w:p>
      <w:pPr>
        <w:pStyle w:val="ListParagraph"/>
        <w:numPr>
          <w:ilvl w:val="0"/>
          <w:numId w:val="2"/>
        </w:numPr>
        <w:spacing w:after="80"/>
      </w:pPr>
      <w:r>
        <w:rPr>
          <w:b/>
          <w:bCs/>
        </w:rPr>
        <w:t xml:space="preserve">E-mail via Outlook (pywin32): </w:t>
      </w:r>
      <w:r>
        <w:t xml:space="preserve">escolhido em detrimento de SMTP/App Password por simplicidade — não exige senhas, autenticação multifator, nem configuração no servidor da Marvin. Mesmo padrão do Monitoramento de Poderes/JUCESP.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color w:val="2E75B6"/>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4"/>
      <w:szCs w:val="24"/>
    </w:rPr>
  </w:style>
  <w:style w:type="paragraph" w:styleId="Heading3">
    <w:name w:val="Heading 3"/>
    <w:basedOn w:val="Normal"/>
    <w:next w:val="Normal"/>
    <w:qFormat/>
    <w:pPr>
      <w:spacing w:after="100" w:before="18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MVP - Monitoramento Fatos Relevantes CVM</dc:title>
  <dc:creator>Marvin - Maria Vitória Pavan</dc:creator>
  <dc:description>Relatório de tarefa MVP com plano de sucessão</dc:description>
  <cp:lastModifiedBy>Un-named</cp:lastModifiedBy>
  <cp:revision>1</cp:revision>
  <dcterms:created xsi:type="dcterms:W3CDTF">2026-05-08T20:03:26.477Z</dcterms:created>
  <dcterms:modified xsi:type="dcterms:W3CDTF">2026-05-08T20:03:26.478Z</dcterms:modified>
</cp:coreProperties>
</file>

<file path=docProps/custom.xml><?xml version="1.0" encoding="utf-8"?>
<Properties xmlns="http://schemas.openxmlformats.org/officeDocument/2006/custom-properties" xmlns:vt="http://schemas.openxmlformats.org/officeDocument/2006/docPropsVTypes"/>
</file>