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b/>
          <w:bCs/>
          <w:color w:val="1F3864"/>
          <w:sz w:val="44"/>
          <w:szCs w:val="44"/>
        </w:rPr>
        <w:t xml:space="preserve">Working Plan</w:t>
      </w:r>
    </w:p>
    <w:p>
      <w:pPr>
        <w:spacing w:after="100"/>
        <w:jc w:val="center"/>
      </w:pPr>
      <w:r>
        <w:rPr>
          <w:b/>
          <w:bCs/>
          <w:color w:val="2E75B6"/>
          <w:sz w:val="28"/>
          <w:szCs w:val="28"/>
        </w:rPr>
        <w:t xml:space="preserve">Implementação Institucional — Monitoramento CVM Fatos Relevantes</w:t>
      </w:r>
    </w:p>
    <w:p>
      <w:pPr>
        <w:spacing w:after="600"/>
        <w:jc w:val="center"/>
      </w:pPr>
      <w:r>
        <w:rPr>
          <w:i/>
          <w:iCs/>
          <w:sz w:val="22"/>
          <w:szCs w:val="22"/>
        </w:rPr>
        <w:t xml:space="preserve">Transformar a ferramenta individual em operação institucional, com distribuição ampliada e governança definida</w:t>
      </w:r>
    </w:p>
    <w:p>
      <w:pPr>
        <w:spacing w:after="80"/>
        <w:jc w:val="center"/>
      </w:pPr>
      <w:r>
        <w:rPr>
          <w:sz w:val="22"/>
          <w:szCs w:val="22"/>
        </w:rPr>
        <w:t xml:space="preserve">Owner: Maria Vitória Pavan (Risco)</w:t>
      </w:r>
    </w:p>
    <w:p>
      <w:pPr>
        <w:spacing w:after="80"/>
        <w:jc w:val="center"/>
      </w:pPr>
      <w:r>
        <w:rPr>
          <w:sz w:val="22"/>
          <w:szCs w:val="22"/>
        </w:rPr>
        <w:t xml:space="preserve">Versão 1.0 — Maio 2026</w:t>
      </w:r>
    </w:p>
    <w:p>
      <w:r>
        <w:br w:type="page"/>
      </w:r>
    </w:p>
    <w:p>
      <w:pPr>
        <w:pStyle w:val="Heading1"/>
        <w:spacing w:after="180" w:before="320"/>
      </w:pPr>
      <w:r>
        <w:rPr>
          <w:b/>
          <w:bCs/>
          <w:color w:val="2E75B6"/>
          <w:sz w:val="30"/>
          <w:szCs w:val="30"/>
        </w:rPr>
        <w:t xml:space="preserve">Sumário Executivo</w:t>
      </w:r>
    </w:p>
    <w:p>
      <w:pPr>
        <w:spacing w:after="120"/>
      </w:pPr>
      <w:r>
        <w:t xml:space="preserve">O monitor de Fatos Relevantes da CVM está operacional, rodando em duas camadas redundantes (local na máquina da responsável + GitHub Actions na nuvem), com notificação por e-mail e task no ClickUp. Este plano descreve a transição da operação atual — concentrada em uma única responsável — para um modelo institucional, com distribuição ampliada de alertas, governança formal e plano de evolução.</w:t>
      </w:r>
    </w:p>
    <w:p>
      <w:pPr>
        <w:spacing w:after="120"/>
      </w:pPr>
      <w:r>
        <w:t xml:space="preserve">Cobertura atual: 20 devedores, dos quais 5 listados na CVM (Casas Bahia, Marisa, Americanas, GPA, Casa &amp; Video). Detecção em D+1. Custo zero. Tempo de implementação total para os próximos marcos: 6 a 8 semanas.</w:t>
      </w:r>
    </w:p>
    <w:p>
      <w:pPr>
        <w:pStyle w:val="Heading2"/>
        <w:spacing w:after="120" w:before="220"/>
      </w:pPr>
      <w:r>
        <w:rPr>
          <w:b/>
          <w:bCs/>
          <w:color w:val="2E75B6"/>
          <w:sz w:val="24"/>
          <w:szCs w:val="24"/>
        </w:rPr>
        <w:t xml:space="preserve">Marcos principais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rPr>
          <w:tblHeader/>
        </w:trP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Marco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Prazo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Aprovação executiva e comunicação interna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Semana 1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Distribuição ampliada (e-mail + ClickUp)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Semana 1-2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Onboarding de backup operacional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Semana 2-3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Primeira revisão mensal da watchlist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Mês 1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Fase 2A — DataJud para devedores privados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Mês 3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Fase 2B — Classificação por LLM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Mês 4</w:t>
            </w:r>
          </w:p>
        </w:tc>
      </w:tr>
      <w:tr>
        <w:trPr>
          <w:tblHeader w:val="false"/>
        </w:trP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Fase 3 — Widget cliente-facing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Mês 6</w:t>
            </w:r>
          </w:p>
        </w:tc>
      </w:tr>
    </w:tbl>
    <w:p>
      <w:pPr>
        <w:pStyle w:val="Heading1"/>
        <w:spacing w:after="180" w:before="320"/>
      </w:pPr>
      <w:r>
        <w:rPr>
          <w:b/>
          <w:bCs/>
          <w:color w:val="2E75B6"/>
          <w:sz w:val="30"/>
          <w:szCs w:val="30"/>
        </w:rPr>
        <w:t xml:space="preserve">1. Estado Atual</w:t>
      </w:r>
    </w:p>
    <w:p>
      <w:pPr>
        <w:spacing w:after="120"/>
      </w:pPr>
      <w:r>
        <w:t xml:space="preserve">O sistema entregue tem duas camadas operando em paralelo, garantindo redundância (cinto + suspensórios):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00"/>
        <w:gridCol w:w="2700"/>
        <w:gridCol w:w="1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Notificação</w:t>
            </w:r>
          </w:p>
        </w:tc>
        <w:tc>
          <w:tcPr>
            <w:tcW w:type="dxa" w:w="1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Monitor local (Windows)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Login do Windows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E-mail via Outlook</w:t>
            </w:r>
          </w:p>
        </w:tc>
        <w:tc>
          <w:tcPr>
            <w:tcW w:type="dxa" w:w="1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Operacional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Monitor cloud (GitHub Actions)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Cron diário 10h BRT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Task no ClickUp + e-mail</w:t>
            </w:r>
          </w:p>
        </w:tc>
        <w:tc>
          <w:tcPr>
            <w:tcW w:type="dxa" w:w="1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Operacional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t xml:space="preserve">Documentação técnica e de sucessão já entregue, no padrão Marvin de monitoramentos automáticos, salva na pasta do projeto (manual PDF, relatório MVP em Word, especificação técnica).</w:t>
      </w:r>
    </w:p>
    <w:p>
      <w:pPr>
        <w:pStyle w:val="Heading1"/>
        <w:spacing w:after="180" w:before="320"/>
      </w:pPr>
      <w:r>
        <w:rPr>
          <w:b/>
          <w:bCs/>
          <w:color w:val="2E75B6"/>
          <w:sz w:val="30"/>
          <w:szCs w:val="30"/>
        </w:rPr>
        <w:t xml:space="preserve">2. Objetivo do Plano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Eliminar dependência de pessoa única — sistema deve sobreviver à saída de qualquer membro do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Ampliar distribuição dos alertas para todo o time de Risco (e eventualmente credores).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Formalizar governança — quem responde a qual alerta, em quanto tempo, com qual SLA.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Estabelecer ciclo de manutenção (watchlist atualizada, auditoria periódica, métricas de qualidade).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Definir e executar evoluções (Fase 2 para cobrir privados; Fase 3 para virar diferencial cliente).</w:t>
      </w:r>
    </w:p>
    <w:p>
      <w:pPr>
        <w:pStyle w:val="Heading1"/>
        <w:spacing w:after="180" w:before="320"/>
      </w:pPr>
      <w:r>
        <w:rPr>
          <w:b/>
          <w:bCs/>
          <w:color w:val="2E75B6"/>
          <w:sz w:val="30"/>
          <w:szCs w:val="30"/>
        </w:rPr>
        <w:t xml:space="preserve">3. Workstreams</w:t>
      </w:r>
    </w:p>
    <w:p>
      <w:pPr>
        <w:pStyle w:val="Heading2"/>
        <w:spacing w:after="120" w:before="220"/>
      </w:pPr>
      <w:r>
        <w:rPr>
          <w:b/>
          <w:bCs/>
          <w:color w:val="2E75B6"/>
          <w:sz w:val="24"/>
          <w:szCs w:val="24"/>
        </w:rPr>
        <w:t xml:space="preserve">WS1 — Institucionalização</w:t>
      </w:r>
    </w:p>
    <w:p>
      <w:pPr>
        <w:spacing w:after="120"/>
      </w:pPr>
      <w:r>
        <w:t xml:space="preserve">Objetivo: tirar o sistema do status de "ferramenta da Maria Vitória" e oficializá-lo como entrega da Marvin.</w:t>
      </w:r>
    </w:p>
    <w:p>
      <w:pPr>
        <w:pStyle w:val="Heading3"/>
        <w:spacing w:after="100" w:before="180"/>
      </w:pPr>
      <w:r>
        <w:rPr>
          <w:b/>
          <w:bCs/>
          <w:color w:val="1F3864"/>
          <w:sz w:val="22"/>
          <w:szCs w:val="22"/>
        </w:rPr>
        <w:t xml:space="preserve">Atividades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Apresentação executiva (15 min) ao líder de Risco e ao COO, com o deck de "Monitoramentos Automáticos".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Aprovação formal para incluir CVM Monitor na família de monitoramentos oficiais (Poderes, JUCESP, Ratings).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Comunicação interna no canal de Risco, anunciando o novo canal de alertas.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Inclusão do CVM Monitor na agenda do comitê de risco mensal — bloco de 10 minutos para revisão dos alertas do mês.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Documentação no padrão Marvin já entregue: PDF técnico, Word de sucessão, especificação para engenharia.</w:t>
      </w:r>
    </w:p>
    <w:p>
      <w:pPr>
        <w:pStyle w:val="Heading3"/>
        <w:spacing w:after="100" w:before="180"/>
      </w:pPr>
      <w:r>
        <w:rPr>
          <w:b/>
          <w:bCs/>
          <w:color w:val="1F3864"/>
          <w:sz w:val="22"/>
          <w:szCs w:val="22"/>
        </w:rPr>
        <w:t xml:space="preserve">Owner</w:t>
      </w:r>
    </w:p>
    <w:p>
      <w:pPr>
        <w:spacing w:after="120"/>
      </w:pPr>
      <w:r>
        <w:t xml:space="preserve">Maria Vitória (líder); aprovador: Head de Risco.</w:t>
      </w:r>
    </w:p>
    <w:p>
      <w:pPr>
        <w:pStyle w:val="Heading3"/>
        <w:spacing w:after="100" w:before="180"/>
      </w:pPr>
      <w:r>
        <w:rPr>
          <w:b/>
          <w:bCs/>
          <w:color w:val="1F3864"/>
          <w:sz w:val="22"/>
          <w:szCs w:val="22"/>
        </w:rPr>
        <w:t xml:space="preserve">Prazo</w:t>
      </w:r>
    </w:p>
    <w:p>
      <w:pPr>
        <w:spacing w:after="120"/>
      </w:pPr>
      <w:r>
        <w:t xml:space="preserve">Semanas 1-2.</w:t>
      </w:r>
    </w:p>
    <w:p>
      <w:pPr>
        <w:pStyle w:val="Heading2"/>
        <w:spacing w:after="120" w:before="220"/>
      </w:pPr>
      <w:r>
        <w:rPr>
          <w:b/>
          <w:bCs/>
          <w:color w:val="2E75B6"/>
          <w:sz w:val="24"/>
          <w:szCs w:val="24"/>
        </w:rPr>
        <w:t xml:space="preserve">WS2 — Expansão de Distribuição</w:t>
      </w:r>
    </w:p>
    <w:p>
      <w:pPr>
        <w:spacing w:after="120"/>
      </w:pPr>
      <w:r>
        <w:t xml:space="preserve">Objetivo: levar os alertas para mais pessoas no time de Risco e, no futuro, para os credores.</w:t>
      </w:r>
    </w:p>
    <w:p>
      <w:pPr>
        <w:pStyle w:val="Heading3"/>
        <w:spacing w:after="100" w:before="180"/>
      </w:pPr>
      <w:r>
        <w:rPr>
          <w:b/>
          <w:bCs/>
          <w:color w:val="1F3864"/>
          <w:sz w:val="22"/>
          <w:szCs w:val="22"/>
        </w:rPr>
        <w:t xml:space="preserve">Atividades — Fase imediata (time interno)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Definir lista de destinatários internos. Sugestão: Head de Risco, analistas de Risco, COO (apenas alertas de alta materialidade).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Configurar CC no e-mail local: editar a variável EMAIL_CC no arquivo monitor.py com os e-mails separados por ponto-e-vírgula.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Configurar destinatários no ClickUp (cloud): adicionar user IDs adicionais no secret CLICKUP_ASSIGNEE_IDS separados por vírgula.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Validar com um run manual após cada mudança, confirmando que o e-mail / task chega aos novos destinatários.</w:t>
      </w:r>
    </w:p>
    <w:p>
      <w:pPr>
        <w:pStyle w:val="Heading3"/>
        <w:spacing w:after="100" w:before="180"/>
      </w:pPr>
      <w:r>
        <w:rPr>
          <w:b/>
          <w:bCs/>
          <w:color w:val="1F3864"/>
          <w:sz w:val="22"/>
          <w:szCs w:val="22"/>
        </w:rPr>
        <w:t xml:space="preserve">Atividades — Fase futura (credores)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Avaliar se vale dar acesso direto aos credores (Electrolux, bancos, FIDCs, seguradoras) aos alertas relativos aos seus devedores específicos.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Caminho recomendado: NÃO enviar por e-mail (risco de vazamento de informação cruzada). Em vez disso, expor via widget no dashboard de cada credor — Fase 3.</w:t>
      </w:r>
    </w:p>
    <w:p>
      <w:pPr>
        <w:pStyle w:val="Heading3"/>
        <w:spacing w:after="100" w:before="180"/>
      </w:pPr>
      <w:r>
        <w:rPr>
          <w:b/>
          <w:bCs/>
          <w:color w:val="1F3864"/>
          <w:sz w:val="22"/>
          <w:szCs w:val="22"/>
        </w:rPr>
        <w:t xml:space="preserve">Owner</w:t>
      </w:r>
    </w:p>
    <w:p>
      <w:pPr>
        <w:spacing w:after="120"/>
      </w:pPr>
      <w:r>
        <w:t xml:space="preserve">Maria Vitória.</w:t>
      </w:r>
    </w:p>
    <w:p>
      <w:pPr>
        <w:pStyle w:val="Heading3"/>
        <w:spacing w:after="100" w:before="180"/>
      </w:pPr>
      <w:r>
        <w:rPr>
          <w:b/>
          <w:bCs/>
          <w:color w:val="1F3864"/>
          <w:sz w:val="22"/>
          <w:szCs w:val="22"/>
        </w:rPr>
        <w:t xml:space="preserve">Prazo</w:t>
      </w:r>
    </w:p>
    <w:p>
      <w:pPr>
        <w:spacing w:after="120"/>
      </w:pPr>
      <w:r>
        <w:t xml:space="preserve">Semana 1-2 (interno). Credores: pós-Fase 3.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B800" w:sz="6"/>
              <w:left w:val="single" w:color="E6B800" w:sz="6"/>
              <w:bottom w:val="single" w:color="E6B800" w:sz="6"/>
              <w:right w:val="single" w:color="E6B800" w:sz="6"/>
            </w:tcBorders>
            <w:shd w:fill="FFF4C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8B6914"/>
              </w:rPr>
              <w:t xml:space="preserve">Nota: </w:t>
            </w:r>
            <w:r>
              <w:t xml:space="preserve">Antes de configurar destinatários adicionais, alinhar com cada um se aceitam receber alertas diários (incluindo os "sem novidades" do e-mail verde). Quem quiser apenas eventos críticos pode receber só o ClickUp filtrado por tag "alta".</w:t>
            </w:r>
          </w:p>
        </w:tc>
      </w:tr>
    </w:tbl>
    <w:p>
      <w:pPr>
        <w:pStyle w:val="Heading2"/>
        <w:spacing w:after="120" w:before="220"/>
      </w:pPr>
      <w:r>
        <w:rPr>
          <w:b/>
          <w:bCs/>
          <w:color w:val="2E75B6"/>
          <w:sz w:val="24"/>
          <w:szCs w:val="24"/>
        </w:rPr>
        <w:t xml:space="preserve">WS3 — Governança e Operação</w:t>
      </w:r>
    </w:p>
    <w:p>
      <w:pPr>
        <w:spacing w:after="120"/>
      </w:pPr>
      <w:r>
        <w:t xml:space="preserve">Objetivo: garantir que o sistema continua útil ao longo do tempo, com manutenção previsível.</w:t>
      </w:r>
    </w:p>
    <w:p>
      <w:pPr>
        <w:pStyle w:val="Heading3"/>
        <w:spacing w:after="100" w:before="180"/>
      </w:pPr>
      <w:r>
        <w:rPr>
          <w:b/>
          <w:bCs/>
          <w:color w:val="1F3864"/>
          <w:sz w:val="22"/>
          <w:szCs w:val="22"/>
        </w:rPr>
        <w:t xml:space="preserve">Rotinas e responsabilidades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360"/>
        <w:gridCol w:w="30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Frequência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Owner sugerido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Revisão da watchlist (entrada/saída de devedor)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Mensal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Analista de Risco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Triagem dos alertas do mês (eventos de alta materialidade)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Semanal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 de Risco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Auditoria de cobertura (sample manual vs. CVM)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Trimestral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Maria Vitória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Revisão de termos críticos / regras de classificação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Semestral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Maria Vitória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Backup operacional — pessoa treinada como sucessor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Permanente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Head de Risco</w:t>
            </w:r>
          </w:p>
        </w:tc>
      </w:tr>
    </w:tbl>
    <w:p>
      <w:pPr>
        <w:pStyle w:val="Heading3"/>
        <w:spacing w:after="100" w:before="180"/>
      </w:pPr>
      <w:r>
        <w:rPr>
          <w:b/>
          <w:bCs/>
          <w:color w:val="1F3864"/>
          <w:sz w:val="22"/>
          <w:szCs w:val="22"/>
        </w:rPr>
        <w:t xml:space="preserve">SLA de resposta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Evento de materialidade alta com termos críticos (RJ, covenant, auditor): triagem em até 4h úteis.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Evento de materialidade alta sem termos críticos: triagem no mesmo dia útil.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Evento de materialidade média: triagem em até 2 dias úteis.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Evento de materialidade baixa: revisão no batch semanal.</w:t>
      </w:r>
    </w:p>
    <w:p>
      <w:pPr>
        <w:pStyle w:val="Heading3"/>
        <w:spacing w:after="100" w:before="180"/>
      </w:pPr>
      <w:r>
        <w:rPr>
          <w:b/>
          <w:bCs/>
          <w:color w:val="1F3864"/>
          <w:sz w:val="22"/>
          <w:szCs w:val="22"/>
        </w:rPr>
        <w:t xml:space="preserve">Métricas de saúde do sistema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Uptime do cron GitHub Actions (meta: &gt;95% dos dias úteis).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Latência média de detecção (publicação CVM → alerta): meta D+1.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Falso positivo (alerta sem relevância): meta &lt; 15%.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Falso negativo (evento crítico não capturado): meta &lt; 5%, medido por auditoria trimestral.</w:t>
      </w:r>
    </w:p>
    <w:p>
      <w:pPr>
        <w:pStyle w:val="Heading2"/>
        <w:spacing w:after="120" w:before="220"/>
      </w:pPr>
      <w:r>
        <w:rPr>
          <w:b/>
          <w:bCs/>
          <w:color w:val="2E75B6"/>
          <w:sz w:val="24"/>
          <w:szCs w:val="24"/>
        </w:rPr>
        <w:t xml:space="preserve">WS4 — Evoluções Planejadas</w:t>
      </w:r>
    </w:p>
    <w:p>
      <w:pPr>
        <w:pStyle w:val="Heading3"/>
        <w:spacing w:after="100" w:before="180"/>
      </w:pPr>
      <w:r>
        <w:rPr>
          <w:b/>
          <w:bCs/>
          <w:color w:val="1F3864"/>
          <w:sz w:val="22"/>
          <w:szCs w:val="22"/>
        </w:rPr>
        <w:t xml:space="preserve">Fase 2A — Cobertura de devedores privados (DataJud + DOU)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Hoje só cobrimos os 5 listados na CVM. Os outros 15 devedores (Pernambucanas, Fast Shop, Bodytech, etc.) ficam fora deste canal.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Solução: integrar com DataJud (CNJ — ações judiciais) e DOU (Imprensa Nacional — publicações oficiais).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Esforço estimado: 3 a 4 semanas de engenharia.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Prazo sugerido: meses 2-3.</w:t>
      </w:r>
    </w:p>
    <w:p>
      <w:pPr>
        <w:pStyle w:val="Heading3"/>
        <w:spacing w:after="100" w:before="180"/>
      </w:pPr>
      <w:r>
        <w:rPr>
          <w:b/>
          <w:bCs/>
          <w:color w:val="1F3864"/>
          <w:sz w:val="22"/>
          <w:szCs w:val="22"/>
        </w:rPr>
        <w:t xml:space="preserve">Fase 2B — Classificação por LLM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Hoje a materialidade é definida por regras simples (categoria + termos críticos). Funciona, mas tem falsos positivos.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Solução: usar Claude Haiku ou GPT-4o-mini para classificar a materialidade lendo o assunto do fato relevante com contexto.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Custo estimado: R$ 50 a 200 por mês.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Esforço: 3 a 5 dias de engenharia.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Prazo sugerido: mês 4.</w:t>
      </w:r>
    </w:p>
    <w:p>
      <w:pPr>
        <w:pStyle w:val="Heading3"/>
        <w:spacing w:after="100" w:before="180"/>
      </w:pPr>
      <w:r>
        <w:rPr>
          <w:b/>
          <w:bCs/>
          <w:color w:val="1F3864"/>
          <w:sz w:val="22"/>
          <w:szCs w:val="22"/>
        </w:rPr>
        <w:t xml:space="preserve">Fase 3 — Widget cliente-facing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Diferencial competitivo: expor os eventos adversos do devedor diretamente no dashboard do credor (ao lado do ICG).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Quando o credor abre o dashboard da garantia, vê na mesma tela: ICG, performance do colateral, e eventos materiais detectados no devedor.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Esforço estimado: 3 a 4 semanas de engenharia.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Prazo sugerido: mês 6.</w:t>
      </w:r>
    </w:p>
    <w:p>
      <w:pPr>
        <w:pStyle w:val="Heading1"/>
        <w:spacing w:after="180" w:before="320"/>
      </w:pPr>
      <w:r>
        <w:rPr>
          <w:b/>
          <w:bCs/>
          <w:color w:val="2E75B6"/>
          <w:sz w:val="30"/>
          <w:szCs w:val="30"/>
        </w:rPr>
        <w:t xml:space="preserve">4. Próximos Passos Imediatos (próximas 2 semanas)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Apresentar o sistema ao Head de Risco — solicitar 15 minutos na próxima reunião 1:1.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Validar a lista de destinatários adicionais com cada candidato a destinatário.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Configurar EMAIL_CC no monitor.py local + atualizar secret CLICKUP_ASSIGNEE_IDS no GitHub.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Rodar testes manuais para garantir que os alertas chegam corretamente aos novos destinatários.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Adicionar o CVM Monitor à agenda do comitê de risco mensal.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Identificar e treinar um operador backup (mínimo 2 sessões de 30 min).</w:t>
      </w:r>
    </w:p>
    <w:p>
      <w:pPr>
        <w:pStyle w:val="Heading1"/>
        <w:spacing w:after="180" w:before="320"/>
      </w:pPr>
      <w:r>
        <w:rPr>
          <w:b/>
          <w:bCs/>
          <w:color w:val="2E75B6"/>
          <w:sz w:val="30"/>
          <w:szCs w:val="30"/>
        </w:rPr>
        <w:t xml:space="preserve">5. Apêndice — Como adicionar novos destinatários</w:t>
      </w:r>
    </w:p>
    <w:p>
      <w:pPr>
        <w:pStyle w:val="Heading2"/>
        <w:spacing w:after="120" w:before="220"/>
      </w:pPr>
      <w:r>
        <w:rPr>
          <w:b/>
          <w:bCs/>
          <w:color w:val="2E75B6"/>
          <w:sz w:val="24"/>
          <w:szCs w:val="24"/>
        </w:rPr>
        <w:t xml:space="preserve">5.1. E-mail local (monitor pelo Outlook)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Abrir o arquivo monitor.py na pasta "Monitoramento - Fatos Relevantes - Monitor" com o Bloco de Notas.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Localizar a linha próxima ao topo:</w:t>
      </w:r>
    </w:p>
    <w:p>
      <w:pPr>
        <w:shd w:fill="F2F2F2" w:val="clear"/>
        <w:spacing w:after="160" w:before="60"/>
      </w:pPr>
      <w:r>
        <w:rPr>
          <w:rFonts w:ascii="Consolas" w:cs="Consolas" w:eastAsia="Consolas" w:hAnsi="Consolas"/>
          <w:sz w:val="18"/>
          <w:szCs w:val="18"/>
        </w:rPr>
        <w:t xml:space="preserve">EMAIL_CC = ""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Substituir pelo e-mail desejado (vários separados por ponto-e-vírgula): </w:t>
      </w:r>
      <w:r>
        <w:rPr>
          <w:rFonts w:ascii="Consolas" w:cs="Consolas" w:eastAsia="Consolas" w:hAnsi="Consolas"/>
          <w:sz w:val="18"/>
          <w:szCs w:val="18"/>
        </w:rPr>
        <w:t xml:space="preserve">EMAIL_CC = "fulano@marvin.com.br;ciclano@marvin.com.br"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Salvar o arquivo (Ctrl+S).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Na próxima execução do monitor (login do Windows ou duplo-clique no run_weekly.bat), o e-mail será enviado também para os destinatários em cópia.</w:t>
      </w:r>
    </w:p>
    <w:p>
      <w:pPr>
        <w:pStyle w:val="Heading2"/>
        <w:spacing w:after="120" w:before="220"/>
      </w:pPr>
      <w:r>
        <w:rPr>
          <w:b/>
          <w:bCs/>
          <w:color w:val="2E75B6"/>
          <w:sz w:val="24"/>
          <w:szCs w:val="24"/>
        </w:rPr>
        <w:t xml:space="preserve">5.2. ClickUp (monitor cloud no GitHub)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Identificar o User ID do novo destinatário no ClickUp. Avatar → URL: app.clickup.com/.../u/{user_id}.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Abrir o repositório no GitHub: github.com/mavipavan/marvin-cvm-fatos-relevantes.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Settings → Secrets and variables → Actions.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Editar o secret CLICKUP_ASSIGNEE_IDS, adicionando o novo ID separado por vírgula. Ex.: "112137833,222333444".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Save. O próximo run automático (cron das 10h BRT) ou disparo manual já vai atribuir as tasks aos destinatários adicionados.</w:t>
      </w:r>
    </w:p>
    <w:p>
      <w:pPr>
        <w:pStyle w:val="Heading2"/>
        <w:spacing w:after="120" w:before="220"/>
      </w:pPr>
      <w:r>
        <w:rPr>
          <w:b/>
          <w:bCs/>
          <w:color w:val="2E75B6"/>
          <w:sz w:val="24"/>
          <w:szCs w:val="24"/>
        </w:rPr>
        <w:t xml:space="preserve">5.3. Considerações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Cada destinatário no ClickUp recebe e-mail automático do próprio ClickUp quando a task é criada — não precisa configurar SMTP.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Para alguém receber só alertas críticos (alta materialidade), criar um filtro no ClickUp da própria pessoa: filtra a lista "Alertas CVM Fatos Relevantes" por tag "alta".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Para o e-mail do Outlook ter destinatários por gravidade (ex.: COO só recebe alta), seria necessário ajuste no código — solicitar à Maria Vitória se desejado.</w:t>
      </w:r>
    </w:p>
    <w:p>
      <w:pPr>
        <w:pStyle w:val="Heading1"/>
        <w:spacing w:after="180" w:before="320"/>
      </w:pPr>
      <w:r>
        <w:rPr>
          <w:b/>
          <w:bCs/>
          <w:color w:val="2E75B6"/>
          <w:sz w:val="30"/>
          <w:szCs w:val="30"/>
        </w:rPr>
        <w:t xml:space="preserve">6. Riscos e Mitigações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700"/>
        <w:gridCol w:w="3160"/>
      </w:tblGrid>
      <w:tr>
        <w:trPr>
          <w:tblHeader/>
        </w:trP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Probabilidade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Mitigação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CVM instável (já visto)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Retry com backoff implementado. Redundância local + cloud.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 ClickUp expirar/ser revogado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Média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Documentar no Word de sucessão como regenerar.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Maria Vitória sair sem backup treinado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WS1 prevê backup operacional como prioridade.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Falso positivo gerar fadiga de alerta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Média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Fase 2B (LLM) reduz. Triagem por tag "alta" no ClickUp também.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GitHub Actions ficar fora do free tier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Baixa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Consumo atual ~60 min/mês vs. 2000 min disponíveis.</w:t>
            </w:r>
          </w:p>
        </w:tc>
      </w:tr>
      <w:tr>
        <w:trPr>
          <w:tblHeader w:val="false"/>
        </w:trP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Algum devedor sair da carteira sem watchlist ser atualizada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Média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Rotina mensal de revisão da watchlist (WS3).</w:t>
            </w:r>
          </w:p>
        </w:tc>
      </w:tr>
    </w:tbl>
    <w:p>
      <w:pPr>
        <w:pStyle w:val="Heading1"/>
        <w:spacing w:after="180" w:before="320"/>
      </w:pPr>
      <w:r>
        <w:rPr>
          <w:b/>
          <w:bCs/>
          <w:color w:val="2E75B6"/>
          <w:sz w:val="30"/>
          <w:szCs w:val="30"/>
        </w:rPr>
        <w:t xml:space="preserve">7. Como Mediremos Sucesso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 1 mês: pelo menos 3 destinatários adicionais ativos. Sistema rodando autônomo sem intervenção.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 3 meses: Fase 2A entregue (cobertura de privados via DataJud/DOU). Watchlist 20+ devedores cobertos.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 6 meses: Fase 2B (LLM) e Fase 3 (widget cliente-facing) entregues. Pelo menos 1 credor utilizando o widget.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 12 meses: ao menos 1 evento crítico capturado pelo sistema antes da deterioração do colateral, validando o caso de uso.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2E75B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Plan - Monitoramento CVM Fatos Relevantes</dc:title>
  <dc:creator>Marvin - Maria Vitória Pavan</dc:creator>
  <dc:description>Plano de implementação institucional e ampliação de distribuição</dc:description>
  <cp:lastModifiedBy>Un-named</cp:lastModifiedBy>
  <cp:revision>1</cp:revision>
  <dcterms:created xsi:type="dcterms:W3CDTF">2026-05-19T20:54:17.649Z</dcterms:created>
  <dcterms:modified xsi:type="dcterms:W3CDTF">2026-05-19T20:54:17.650Z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