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53F228" w14:textId="6ADD0946" w:rsidR="0061175E" w:rsidRPr="0061175E" w:rsidRDefault="0061175E" w:rsidP="0061175E">
      <w:pPr>
        <w:jc w:val="center"/>
        <w:rPr>
          <w:rFonts w:ascii="微软雅黑" w:eastAsia="微软雅黑" w:hAnsi="微软雅黑" w:cs="楷体"/>
          <w:b/>
          <w:bCs/>
          <w:sz w:val="28"/>
          <w:szCs w:val="28"/>
        </w:rPr>
      </w:pPr>
      <w:r w:rsidRPr="0061175E">
        <w:rPr>
          <w:rFonts w:ascii="微软雅黑" w:eastAsia="微软雅黑" w:hAnsi="微软雅黑" w:cs="楷体" w:hint="eastAsia"/>
          <w:b/>
          <w:bCs/>
          <w:sz w:val="28"/>
          <w:szCs w:val="28"/>
        </w:rPr>
        <w:t>嘉实财富</w:t>
      </w:r>
      <w:r w:rsidR="007E7B8A">
        <w:rPr>
          <w:rFonts w:ascii="微软雅黑" w:eastAsia="微软雅黑" w:hAnsi="微软雅黑" w:cs="楷体" w:hint="eastAsia"/>
          <w:b/>
          <w:bCs/>
          <w:sz w:val="28"/>
          <w:szCs w:val="28"/>
        </w:rPr>
        <w:t>玄驹竞速</w:t>
      </w:r>
      <w:r w:rsidRPr="0061175E">
        <w:rPr>
          <w:rFonts w:ascii="微软雅黑" w:eastAsia="微软雅黑" w:hAnsi="微软雅黑" w:cs="楷体" w:hint="eastAsia"/>
          <w:b/>
          <w:bCs/>
          <w:sz w:val="28"/>
          <w:szCs w:val="28"/>
        </w:rPr>
        <w:t>组合</w:t>
      </w:r>
      <w:r w:rsidRPr="0061175E">
        <w:rPr>
          <w:rFonts w:ascii="微软雅黑" w:eastAsia="微软雅黑" w:hAnsi="微软雅黑" w:cs="楷体"/>
          <w:b/>
          <w:bCs/>
          <w:sz w:val="28"/>
          <w:szCs w:val="28"/>
        </w:rPr>
        <w:t>202</w:t>
      </w:r>
      <w:r w:rsidR="00CA1D37">
        <w:rPr>
          <w:rFonts w:ascii="微软雅黑" w:eastAsia="微软雅黑" w:hAnsi="微软雅黑" w:cs="楷体"/>
          <w:b/>
          <w:bCs/>
          <w:sz w:val="28"/>
          <w:szCs w:val="28"/>
        </w:rPr>
        <w:t>6</w:t>
      </w:r>
      <w:r w:rsidR="0011171C">
        <w:rPr>
          <w:rFonts w:ascii="微软雅黑" w:eastAsia="微软雅黑" w:hAnsi="微软雅黑" w:cs="楷体" w:hint="eastAsia"/>
          <w:b/>
          <w:bCs/>
          <w:sz w:val="28"/>
          <w:szCs w:val="28"/>
        </w:rPr>
        <w:t>年</w:t>
      </w:r>
      <w:proofErr w:type="gramStart"/>
      <w:r w:rsidR="00CA1D37">
        <w:rPr>
          <w:rFonts w:ascii="微软雅黑" w:eastAsia="微软雅黑" w:hAnsi="微软雅黑" w:cs="楷体" w:hint="eastAsia"/>
          <w:b/>
          <w:bCs/>
          <w:sz w:val="28"/>
          <w:szCs w:val="28"/>
        </w:rPr>
        <w:t>一</w:t>
      </w:r>
      <w:proofErr w:type="gramEnd"/>
      <w:r w:rsidR="006F2A83">
        <w:rPr>
          <w:rFonts w:ascii="微软雅黑" w:eastAsia="微软雅黑" w:hAnsi="微软雅黑" w:cs="楷体" w:hint="eastAsia"/>
          <w:b/>
          <w:bCs/>
          <w:sz w:val="28"/>
          <w:szCs w:val="28"/>
        </w:rPr>
        <w:t>季报</w:t>
      </w:r>
    </w:p>
    <w:p w14:paraId="6C228F33" w14:textId="77777777" w:rsidR="0011171C" w:rsidRDefault="0011171C" w:rsidP="0011171C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 w:cs="Times New Roman"/>
          <w:b/>
          <w:bCs/>
          <w:sz w:val="24"/>
          <w:szCs w:val="28"/>
        </w:rPr>
      </w:pPr>
      <w:r>
        <w:rPr>
          <w:rFonts w:ascii="微软雅黑" w:eastAsia="微软雅黑" w:hAnsi="微软雅黑" w:cs="Times New Roman"/>
          <w:b/>
          <w:bCs/>
          <w:sz w:val="24"/>
          <w:szCs w:val="28"/>
        </w:rPr>
        <w:t>重要提示</w:t>
      </w:r>
    </w:p>
    <w:p w14:paraId="290183ED" w14:textId="77777777" w:rsidR="00824367" w:rsidRDefault="00824367" w:rsidP="00824367">
      <w:pPr>
        <w:pStyle w:val="Default"/>
        <w:spacing w:line="360" w:lineRule="auto"/>
        <w:ind w:firstLine="420"/>
        <w:jc w:val="both"/>
        <w:rPr>
          <w:rFonts w:ascii="微软雅黑" w:eastAsia="微软雅黑" w:hAnsi="微软雅黑"/>
          <w:sz w:val="21"/>
          <w:szCs w:val="21"/>
        </w:rPr>
      </w:pPr>
      <w:r w:rsidRPr="00024207">
        <w:rPr>
          <w:rFonts w:ascii="微软雅黑" w:eastAsia="微软雅黑" w:hAnsi="微软雅黑" w:hint="eastAsia"/>
          <w:sz w:val="21"/>
          <w:szCs w:val="21"/>
        </w:rPr>
        <w:t>嘉实财富</w:t>
      </w:r>
      <w:r w:rsidRPr="00D15A57">
        <w:rPr>
          <w:rFonts w:ascii="微软雅黑" w:eastAsia="微软雅黑" w:hAnsi="微软雅黑"/>
          <w:sz w:val="21"/>
          <w:szCs w:val="21"/>
        </w:rPr>
        <w:t>承诺以诚实信用、勤勉尽责的原则管理和</w:t>
      </w:r>
      <w:proofErr w:type="gramStart"/>
      <w:r w:rsidRPr="00D15A57">
        <w:rPr>
          <w:rFonts w:ascii="微软雅黑" w:eastAsia="微软雅黑" w:hAnsi="微软雅黑"/>
          <w:sz w:val="21"/>
          <w:szCs w:val="21"/>
        </w:rPr>
        <w:t>运用</w:t>
      </w:r>
      <w:r>
        <w:rPr>
          <w:rFonts w:ascii="微软雅黑" w:eastAsia="微软雅黑" w:hAnsi="微软雅黑" w:hint="eastAsia"/>
          <w:sz w:val="21"/>
          <w:szCs w:val="21"/>
        </w:rPr>
        <w:t>投顾组合</w:t>
      </w:r>
      <w:proofErr w:type="gramEnd"/>
      <w:r w:rsidRPr="00D15A57">
        <w:rPr>
          <w:rFonts w:ascii="微软雅黑" w:eastAsia="微软雅黑" w:hAnsi="微软雅黑"/>
          <w:sz w:val="21"/>
          <w:szCs w:val="21"/>
        </w:rPr>
        <w:t>资产，但不保证一定盈利</w:t>
      </w:r>
      <w:r>
        <w:rPr>
          <w:rFonts w:ascii="微软雅黑" w:eastAsia="微软雅黑" w:hAnsi="微软雅黑" w:hint="eastAsia"/>
          <w:sz w:val="21"/>
          <w:szCs w:val="21"/>
        </w:rPr>
        <w:t>或本金不受损失</w:t>
      </w:r>
      <w:r w:rsidRPr="00D15A57">
        <w:rPr>
          <w:rFonts w:ascii="微软雅黑" w:eastAsia="微软雅黑" w:hAnsi="微软雅黑"/>
          <w:sz w:val="21"/>
          <w:szCs w:val="21"/>
        </w:rPr>
        <w:t>。</w:t>
      </w:r>
      <w:proofErr w:type="gramStart"/>
      <w:r>
        <w:rPr>
          <w:rFonts w:ascii="微软雅黑" w:eastAsia="微软雅黑" w:hAnsi="微软雅黑" w:hint="eastAsia"/>
          <w:sz w:val="21"/>
          <w:szCs w:val="21"/>
        </w:rPr>
        <w:t>投顾组合</w:t>
      </w:r>
      <w:proofErr w:type="gramEnd"/>
      <w:r w:rsidRPr="00D15A57">
        <w:rPr>
          <w:rFonts w:ascii="微软雅黑" w:eastAsia="微软雅黑" w:hAnsi="微软雅黑"/>
          <w:sz w:val="21"/>
          <w:szCs w:val="21"/>
        </w:rPr>
        <w:t>的过往业绩并不代表其未来表现</w:t>
      </w:r>
      <w:r w:rsidRPr="00CF4CDD">
        <w:rPr>
          <w:rFonts w:ascii="微软雅黑" w:eastAsia="微软雅黑" w:hAnsi="微软雅黑" w:hint="eastAsia"/>
          <w:sz w:val="21"/>
          <w:szCs w:val="21"/>
        </w:rPr>
        <w:t>，为其他客户创造的收益并不构成业绩表现的保证</w:t>
      </w:r>
      <w:r w:rsidRPr="00D15A57">
        <w:rPr>
          <w:rFonts w:ascii="微软雅黑" w:eastAsia="微软雅黑" w:hAnsi="微软雅黑"/>
          <w:sz w:val="21"/>
          <w:szCs w:val="21"/>
        </w:rPr>
        <w:t>。</w:t>
      </w:r>
    </w:p>
    <w:p w14:paraId="3A2ED864" w14:textId="60C26E05" w:rsidR="00824367" w:rsidRPr="00D15A57" w:rsidRDefault="00824367" w:rsidP="00824367">
      <w:pPr>
        <w:pStyle w:val="Default"/>
        <w:spacing w:line="360" w:lineRule="auto"/>
        <w:ind w:firstLine="420"/>
        <w:jc w:val="both"/>
        <w:rPr>
          <w:rFonts w:ascii="微软雅黑" w:eastAsia="微软雅黑" w:hAnsi="微软雅黑"/>
          <w:sz w:val="21"/>
          <w:szCs w:val="21"/>
        </w:rPr>
      </w:pPr>
      <w:r w:rsidRPr="00D15A57">
        <w:rPr>
          <w:rFonts w:ascii="微软雅黑" w:eastAsia="微软雅黑" w:hAnsi="微软雅黑"/>
          <w:sz w:val="21"/>
          <w:szCs w:val="21"/>
        </w:rPr>
        <w:t>投资有风险，投资者在</w:t>
      </w:r>
      <w:proofErr w:type="gramStart"/>
      <w:r w:rsidRPr="00D15A57">
        <w:rPr>
          <w:rFonts w:ascii="微软雅黑" w:eastAsia="微软雅黑" w:hAnsi="微软雅黑"/>
          <w:sz w:val="21"/>
          <w:szCs w:val="21"/>
        </w:rPr>
        <w:t>作出</w:t>
      </w:r>
      <w:proofErr w:type="gramEnd"/>
      <w:r w:rsidRPr="00D15A57">
        <w:rPr>
          <w:rFonts w:ascii="微软雅黑" w:eastAsia="微软雅黑" w:hAnsi="微软雅黑"/>
          <w:sz w:val="21"/>
          <w:szCs w:val="21"/>
        </w:rPr>
        <w:t>投资决策前应仔细阅读</w:t>
      </w:r>
      <w:r w:rsidRPr="00024207">
        <w:rPr>
          <w:rFonts w:ascii="微软雅黑" w:eastAsia="微软雅黑" w:hAnsi="微软雅黑" w:hint="eastAsia"/>
          <w:sz w:val="21"/>
          <w:szCs w:val="21"/>
        </w:rPr>
        <w:t>嘉实财富基金投资顾问服务协议、基金投资顾问服务风险揭示书、</w:t>
      </w:r>
      <w:r>
        <w:rPr>
          <w:rFonts w:ascii="微软雅黑" w:eastAsia="微软雅黑" w:hAnsi="微软雅黑" w:hint="eastAsia"/>
          <w:sz w:val="21"/>
          <w:szCs w:val="21"/>
        </w:rPr>
        <w:t>组合策略</w:t>
      </w:r>
      <w:r w:rsidRPr="00D15A57">
        <w:rPr>
          <w:rFonts w:ascii="微软雅黑" w:eastAsia="微软雅黑" w:hAnsi="微软雅黑" w:hint="eastAsia"/>
          <w:sz w:val="21"/>
          <w:szCs w:val="21"/>
        </w:rPr>
        <w:t>方案说明书</w:t>
      </w:r>
      <w:r>
        <w:rPr>
          <w:rFonts w:ascii="微软雅黑" w:eastAsia="微软雅黑" w:hAnsi="微软雅黑" w:hint="eastAsia"/>
          <w:sz w:val="21"/>
          <w:szCs w:val="21"/>
        </w:rPr>
        <w:t>等相关法律文件</w:t>
      </w:r>
      <w:r w:rsidRPr="00D15A57">
        <w:rPr>
          <w:rFonts w:ascii="微软雅黑" w:eastAsia="微软雅黑" w:hAnsi="微软雅黑"/>
          <w:sz w:val="21"/>
          <w:szCs w:val="21"/>
        </w:rPr>
        <w:t>。</w:t>
      </w:r>
    </w:p>
    <w:p w14:paraId="54C1C724" w14:textId="7DC2475A" w:rsidR="00824367" w:rsidRPr="00824367" w:rsidRDefault="00824367" w:rsidP="00824367">
      <w:pPr>
        <w:spacing w:line="360" w:lineRule="auto"/>
        <w:ind w:firstLine="420"/>
        <w:rPr>
          <w:rFonts w:ascii="微软雅黑" w:eastAsia="微软雅黑" w:hAnsi="微软雅黑" w:cs="Times New Roman"/>
          <w:b/>
          <w:bCs/>
          <w:sz w:val="24"/>
          <w:szCs w:val="28"/>
        </w:rPr>
      </w:pPr>
      <w:r w:rsidRPr="00824367">
        <w:rPr>
          <w:rFonts w:ascii="微软雅黑" w:eastAsia="微软雅黑" w:hAnsi="微软雅黑"/>
          <w:szCs w:val="21"/>
        </w:rPr>
        <w:t>本报告期自202</w:t>
      </w:r>
      <w:r w:rsidR="00CA1D37">
        <w:rPr>
          <w:rFonts w:ascii="微软雅黑" w:eastAsia="微软雅黑" w:hAnsi="微软雅黑"/>
          <w:szCs w:val="21"/>
        </w:rPr>
        <w:t>6</w:t>
      </w:r>
      <w:r w:rsidRPr="00824367">
        <w:rPr>
          <w:rFonts w:ascii="微软雅黑" w:eastAsia="微软雅黑" w:hAnsi="微软雅黑"/>
          <w:szCs w:val="21"/>
        </w:rPr>
        <w:t>年</w:t>
      </w:r>
      <w:r w:rsidR="00CA1D37">
        <w:rPr>
          <w:rFonts w:ascii="微软雅黑" w:eastAsia="微软雅黑" w:hAnsi="微软雅黑"/>
          <w:szCs w:val="21"/>
        </w:rPr>
        <w:t>1</w:t>
      </w:r>
      <w:r w:rsidRPr="00824367">
        <w:rPr>
          <w:rFonts w:ascii="微软雅黑" w:eastAsia="微软雅黑" w:hAnsi="微软雅黑"/>
          <w:szCs w:val="21"/>
        </w:rPr>
        <w:t>月1日至202</w:t>
      </w:r>
      <w:r w:rsidR="00CA1D37">
        <w:rPr>
          <w:rFonts w:ascii="微软雅黑" w:eastAsia="微软雅黑" w:hAnsi="微软雅黑"/>
          <w:szCs w:val="21"/>
        </w:rPr>
        <w:t>6</w:t>
      </w:r>
      <w:r w:rsidRPr="00824367">
        <w:rPr>
          <w:rFonts w:ascii="微软雅黑" w:eastAsia="微软雅黑" w:hAnsi="微软雅黑"/>
          <w:szCs w:val="21"/>
        </w:rPr>
        <w:t>年</w:t>
      </w:r>
      <w:r w:rsidR="00CA1D37">
        <w:rPr>
          <w:rFonts w:ascii="微软雅黑" w:eastAsia="微软雅黑" w:hAnsi="微软雅黑"/>
          <w:szCs w:val="21"/>
        </w:rPr>
        <w:t>3</w:t>
      </w:r>
      <w:r w:rsidRPr="00824367">
        <w:rPr>
          <w:rFonts w:ascii="微软雅黑" w:eastAsia="微软雅黑" w:hAnsi="微软雅黑"/>
          <w:szCs w:val="21"/>
        </w:rPr>
        <w:t>月</w:t>
      </w:r>
      <w:r w:rsidR="007F3872">
        <w:rPr>
          <w:rFonts w:ascii="微软雅黑" w:eastAsia="微软雅黑" w:hAnsi="微软雅黑"/>
          <w:szCs w:val="21"/>
        </w:rPr>
        <w:t>3</w:t>
      </w:r>
      <w:r w:rsidR="00CA1D37">
        <w:rPr>
          <w:rFonts w:ascii="微软雅黑" w:eastAsia="微软雅黑" w:hAnsi="微软雅黑"/>
          <w:szCs w:val="21"/>
        </w:rPr>
        <w:t>1</w:t>
      </w:r>
      <w:r w:rsidRPr="00824367">
        <w:rPr>
          <w:rFonts w:ascii="微软雅黑" w:eastAsia="微软雅黑" w:hAnsi="微软雅黑"/>
          <w:szCs w:val="21"/>
        </w:rPr>
        <w:t>日止。</w:t>
      </w:r>
    </w:p>
    <w:p w14:paraId="690FFABE" w14:textId="6E6FDEC3" w:rsidR="0011171C" w:rsidRPr="00484905" w:rsidRDefault="0011171C" w:rsidP="0011171C">
      <w:pPr>
        <w:spacing w:line="360" w:lineRule="auto"/>
        <w:rPr>
          <w:rFonts w:ascii="微软雅黑" w:eastAsia="微软雅黑" w:hAnsi="微软雅黑" w:cs="Times New Roman"/>
          <w:b/>
          <w:bCs/>
          <w:sz w:val="24"/>
          <w:szCs w:val="28"/>
        </w:rPr>
      </w:pPr>
      <w:r w:rsidRPr="00484905">
        <w:rPr>
          <w:rFonts w:ascii="微软雅黑" w:eastAsia="微软雅黑" w:hAnsi="微软雅黑" w:cs="Times New Roman" w:hint="eastAsia"/>
          <w:b/>
          <w:bCs/>
          <w:sz w:val="24"/>
          <w:szCs w:val="28"/>
        </w:rPr>
        <w:t>二、</w:t>
      </w:r>
      <w:r>
        <w:rPr>
          <w:rFonts w:ascii="微软雅黑" w:eastAsia="微软雅黑" w:hAnsi="微软雅黑" w:cs="Times New Roman" w:hint="eastAsia"/>
          <w:b/>
          <w:bCs/>
          <w:sz w:val="24"/>
          <w:szCs w:val="28"/>
        </w:rPr>
        <w:t xml:space="preserve"> </w:t>
      </w:r>
      <w:r>
        <w:rPr>
          <w:rFonts w:ascii="微软雅黑" w:eastAsia="微软雅黑" w:hAnsi="微软雅黑" w:cs="Times New Roman"/>
          <w:b/>
          <w:bCs/>
          <w:sz w:val="24"/>
          <w:szCs w:val="28"/>
        </w:rPr>
        <w:t xml:space="preserve"> </w:t>
      </w:r>
      <w:r w:rsidRPr="00484905">
        <w:rPr>
          <w:rFonts w:ascii="微软雅黑" w:eastAsia="微软雅黑" w:hAnsi="微软雅黑" w:cs="Times New Roman" w:hint="eastAsia"/>
          <w:b/>
          <w:bCs/>
          <w:sz w:val="24"/>
          <w:szCs w:val="28"/>
        </w:rPr>
        <w:t>组合目标</w:t>
      </w:r>
    </w:p>
    <w:p w14:paraId="369BD832" w14:textId="682360B6" w:rsidR="00AD778F" w:rsidRPr="00E512EA" w:rsidRDefault="00AD778F" w:rsidP="00AD778F">
      <w:pPr>
        <w:spacing w:line="360" w:lineRule="auto"/>
        <w:ind w:firstLine="420"/>
        <w:jc w:val="left"/>
        <w:rPr>
          <w:rFonts w:ascii="微软雅黑" w:eastAsia="微软雅黑" w:hAnsi="微软雅黑" w:cs="Calibri"/>
          <w:color w:val="000000"/>
          <w:kern w:val="0"/>
          <w:szCs w:val="21"/>
        </w:rPr>
      </w:pPr>
      <w:r w:rsidRPr="00E512EA">
        <w:rPr>
          <w:rFonts w:ascii="微软雅黑" w:eastAsia="微软雅黑" w:hAnsi="微软雅黑" w:cs="Calibri" w:hint="eastAsia"/>
          <w:color w:val="000000"/>
          <w:kern w:val="0"/>
          <w:szCs w:val="21"/>
        </w:rPr>
        <w:t>策略以95%的股票型公募基金、混合型公</w:t>
      </w:r>
      <w:proofErr w:type="gramStart"/>
      <w:r w:rsidRPr="00E512EA">
        <w:rPr>
          <w:rFonts w:ascii="微软雅黑" w:eastAsia="微软雅黑" w:hAnsi="微软雅黑" w:cs="Calibri" w:hint="eastAsia"/>
          <w:color w:val="000000"/>
          <w:kern w:val="0"/>
          <w:szCs w:val="21"/>
        </w:rPr>
        <w:t>募基金</w:t>
      </w:r>
      <w:proofErr w:type="gramEnd"/>
      <w:r w:rsidRPr="00E512EA">
        <w:rPr>
          <w:rFonts w:ascii="微软雅黑" w:eastAsia="微软雅黑" w:hAnsi="微软雅黑" w:cs="Calibri" w:hint="eastAsia"/>
          <w:color w:val="000000"/>
          <w:kern w:val="0"/>
          <w:szCs w:val="21"/>
        </w:rPr>
        <w:t>为配置中枢，</w:t>
      </w:r>
      <w:proofErr w:type="gramStart"/>
      <w:r w:rsidRPr="00E512EA">
        <w:rPr>
          <w:rFonts w:ascii="微软雅黑" w:eastAsia="微软雅黑" w:hAnsi="微软雅黑" w:cs="Calibri" w:hint="eastAsia"/>
          <w:color w:val="000000"/>
          <w:kern w:val="0"/>
          <w:szCs w:val="21"/>
        </w:rPr>
        <w:t>发掘全</w:t>
      </w:r>
      <w:proofErr w:type="gramEnd"/>
      <w:r w:rsidRPr="00E512EA">
        <w:rPr>
          <w:rFonts w:ascii="微软雅黑" w:eastAsia="微软雅黑" w:hAnsi="微软雅黑" w:cs="Calibri" w:hint="eastAsia"/>
          <w:color w:val="000000"/>
          <w:kern w:val="0"/>
          <w:szCs w:val="21"/>
        </w:rPr>
        <w:t>市场中规模较小，业绩相对锐利、能力圈聚焦、持仓灵活、且有一定管理经验的</w:t>
      </w:r>
      <w:r w:rsidR="00722E32">
        <w:rPr>
          <w:rFonts w:ascii="微软雅黑" w:eastAsia="微软雅黑" w:hAnsi="微软雅黑" w:cs="Calibri" w:hint="eastAsia"/>
          <w:color w:val="000000"/>
          <w:kern w:val="0"/>
          <w:szCs w:val="21"/>
        </w:rPr>
        <w:t>新锐</w:t>
      </w:r>
      <w:r w:rsidRPr="00E512EA">
        <w:rPr>
          <w:rFonts w:ascii="微软雅黑" w:eastAsia="微软雅黑" w:hAnsi="微软雅黑" w:cs="Calibri" w:hint="eastAsia"/>
          <w:color w:val="000000"/>
          <w:kern w:val="0"/>
          <w:szCs w:val="21"/>
        </w:rPr>
        <w:t>基金经理，力争获取超越基准的相对回报</w:t>
      </w:r>
      <w:r w:rsidR="00C02219" w:rsidRPr="00E512EA">
        <w:rPr>
          <w:rFonts w:ascii="微软雅黑" w:eastAsia="微软雅黑" w:hAnsi="微软雅黑" w:cs="Calibri" w:hint="eastAsia"/>
          <w:color w:val="000000"/>
          <w:kern w:val="0"/>
          <w:szCs w:val="21"/>
        </w:rPr>
        <w:t>。</w:t>
      </w:r>
    </w:p>
    <w:p w14:paraId="6C06B21C" w14:textId="13C1B82E" w:rsidR="0011171C" w:rsidRPr="0061175E" w:rsidRDefault="0011171C" w:rsidP="0011171C">
      <w:pPr>
        <w:spacing w:line="360" w:lineRule="auto"/>
        <w:rPr>
          <w:rFonts w:ascii="微软雅黑" w:eastAsia="微软雅黑" w:hAnsi="微软雅黑" w:cs="Times New Roman"/>
          <w:b/>
          <w:bCs/>
          <w:sz w:val="24"/>
          <w:szCs w:val="28"/>
        </w:rPr>
      </w:pPr>
      <w:r>
        <w:rPr>
          <w:rFonts w:ascii="微软雅黑" w:eastAsia="微软雅黑" w:hAnsi="微软雅黑" w:cs="Times New Roman" w:hint="eastAsia"/>
          <w:b/>
          <w:bCs/>
          <w:sz w:val="24"/>
          <w:szCs w:val="28"/>
        </w:rPr>
        <w:t>三、 组合</w:t>
      </w:r>
      <w:r w:rsidRPr="0061175E">
        <w:rPr>
          <w:rFonts w:ascii="微软雅黑" w:eastAsia="微软雅黑" w:hAnsi="微软雅黑" w:cs="Times New Roman" w:hint="eastAsia"/>
          <w:b/>
          <w:bCs/>
          <w:sz w:val="24"/>
          <w:szCs w:val="28"/>
        </w:rPr>
        <w:t>运作回顾</w:t>
      </w:r>
    </w:p>
    <w:p w14:paraId="06D50B44" w14:textId="75082D68" w:rsidR="00CB4F78" w:rsidRPr="00602C96" w:rsidRDefault="00C7112C" w:rsidP="000C237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 w:rsidR="007B31F2">
        <w:rPr>
          <w:rFonts w:ascii="微软雅黑" w:eastAsia="微软雅黑" w:hAnsi="微软雅黑" w:hint="eastAsia"/>
        </w:rPr>
        <w:t>一</w:t>
      </w:r>
      <w:r w:rsidR="00EE2966">
        <w:rPr>
          <w:rFonts w:ascii="微软雅黑" w:eastAsia="微软雅黑" w:hAnsi="微软雅黑" w:hint="eastAsia"/>
        </w:rPr>
        <w:t>季度</w:t>
      </w:r>
      <w:r>
        <w:rPr>
          <w:rFonts w:ascii="微软雅黑" w:eastAsia="微软雅黑" w:hAnsi="微软雅黑" w:hint="eastAsia"/>
        </w:rPr>
        <w:t>组合</w:t>
      </w:r>
      <w:r w:rsidR="007B31F2">
        <w:rPr>
          <w:rFonts w:ascii="微软雅黑" w:eastAsia="微软雅黑" w:hAnsi="微软雅黑" w:hint="eastAsia"/>
        </w:rPr>
        <w:t>跌-</w:t>
      </w:r>
      <w:r w:rsidR="007B31F2">
        <w:rPr>
          <w:rFonts w:ascii="微软雅黑" w:eastAsia="微软雅黑" w:hAnsi="微软雅黑"/>
        </w:rPr>
        <w:t>4.6</w:t>
      </w:r>
      <w:r w:rsidR="004F1942">
        <w:rPr>
          <w:rFonts w:ascii="微软雅黑" w:eastAsia="微软雅黑" w:hAnsi="微软雅黑"/>
        </w:rPr>
        <w:t>%</w:t>
      </w:r>
      <w:r>
        <w:rPr>
          <w:rFonts w:ascii="微软雅黑" w:eastAsia="微软雅黑" w:hAnsi="微软雅黑" w:hint="eastAsia"/>
        </w:rPr>
        <w:t>，同期</w:t>
      </w:r>
      <w:r w:rsidR="00BA71A3">
        <w:rPr>
          <w:rFonts w:ascii="微软雅黑" w:eastAsia="微软雅黑" w:hAnsi="微软雅黑" w:hint="eastAsia"/>
        </w:rPr>
        <w:t>中</w:t>
      </w:r>
      <w:proofErr w:type="gramStart"/>
      <w:r w:rsidR="00BA71A3">
        <w:rPr>
          <w:rFonts w:ascii="微软雅黑" w:eastAsia="微软雅黑" w:hAnsi="微软雅黑" w:hint="eastAsia"/>
        </w:rPr>
        <w:t>证偏股</w:t>
      </w:r>
      <w:proofErr w:type="gramEnd"/>
      <w:r w:rsidR="00BA71A3">
        <w:rPr>
          <w:rFonts w:ascii="微软雅黑" w:eastAsia="微软雅黑" w:hAnsi="微软雅黑" w:hint="eastAsia"/>
        </w:rPr>
        <w:t>基金指数</w:t>
      </w:r>
      <w:r w:rsidR="009647C4">
        <w:rPr>
          <w:rFonts w:ascii="微软雅黑" w:eastAsia="微软雅黑" w:hAnsi="微软雅黑" w:hint="eastAsia"/>
        </w:rPr>
        <w:t>跌</w:t>
      </w:r>
      <w:r w:rsidR="009647C4">
        <w:rPr>
          <w:rFonts w:ascii="微软雅黑" w:eastAsia="微软雅黑" w:hAnsi="微软雅黑"/>
        </w:rPr>
        <w:t>-1.6</w:t>
      </w:r>
      <w:r w:rsidR="00BA71A3" w:rsidRPr="00B70F1A">
        <w:rPr>
          <w:rFonts w:ascii="微软雅黑" w:eastAsia="微软雅黑" w:hAnsi="微软雅黑"/>
        </w:rPr>
        <w:t>%</w:t>
      </w:r>
      <w:r w:rsidR="009647C4">
        <w:rPr>
          <w:rFonts w:ascii="微软雅黑" w:eastAsia="微软雅黑" w:hAnsi="微软雅黑" w:hint="eastAsia"/>
        </w:rPr>
        <w:t>。分月度来看，1</w:t>
      </w:r>
      <w:r w:rsidR="009647C4">
        <w:rPr>
          <w:rFonts w:ascii="微软雅黑" w:eastAsia="微软雅黑" w:hAnsi="微软雅黑"/>
        </w:rPr>
        <w:t>-2月</w:t>
      </w:r>
      <w:r w:rsidR="009647C4">
        <w:rPr>
          <w:rFonts w:ascii="微软雅黑" w:eastAsia="微软雅黑" w:hAnsi="微软雅黑" w:hint="eastAsia"/>
        </w:rPr>
        <w:t>超额</w:t>
      </w:r>
      <w:r w:rsidR="009647C4">
        <w:rPr>
          <w:rFonts w:ascii="微软雅黑" w:eastAsia="微软雅黑" w:hAnsi="微软雅黑"/>
        </w:rPr>
        <w:t>收益</w:t>
      </w:r>
      <w:r w:rsidR="009647C4">
        <w:rPr>
          <w:rFonts w:ascii="微软雅黑" w:eastAsia="微软雅黑" w:hAnsi="微软雅黑" w:hint="eastAsia"/>
        </w:rPr>
        <w:t>1</w:t>
      </w:r>
      <w:r w:rsidR="009647C4">
        <w:rPr>
          <w:rFonts w:ascii="微软雅黑" w:eastAsia="微软雅黑" w:hAnsi="微软雅黑"/>
        </w:rPr>
        <w:t>.1%，</w:t>
      </w:r>
      <w:r w:rsidR="002B07E0">
        <w:rPr>
          <w:rFonts w:ascii="微软雅黑" w:eastAsia="微软雅黑" w:hAnsi="微软雅黑" w:hint="eastAsia"/>
        </w:rPr>
        <w:t>主要</w:t>
      </w:r>
      <w:r w:rsidR="009647C4">
        <w:rPr>
          <w:rFonts w:ascii="微软雅黑" w:eastAsia="微软雅黑" w:hAnsi="微软雅黑" w:hint="eastAsia"/>
        </w:rPr>
        <w:t>由于在去年年底的调仓中，调入了AI算力、商业航天等卫星方向，对于组合有一定正贡献。但随着进入三月，地缘政治局</w:t>
      </w:r>
      <w:proofErr w:type="gramStart"/>
      <w:r w:rsidR="009647C4">
        <w:rPr>
          <w:rFonts w:ascii="微软雅黑" w:eastAsia="微软雅黑" w:hAnsi="微软雅黑" w:hint="eastAsia"/>
        </w:rPr>
        <w:t>势逐渐</w:t>
      </w:r>
      <w:proofErr w:type="gramEnd"/>
      <w:r w:rsidR="009647C4">
        <w:rPr>
          <w:rFonts w:ascii="微软雅黑" w:eastAsia="微软雅黑" w:hAnsi="微软雅黑" w:hint="eastAsia"/>
        </w:rPr>
        <w:t>进展，叠加基本面数据真空，前期领</w:t>
      </w:r>
      <w:proofErr w:type="gramStart"/>
      <w:r w:rsidR="009647C4">
        <w:rPr>
          <w:rFonts w:ascii="微软雅黑" w:eastAsia="微软雅黑" w:hAnsi="微软雅黑" w:hint="eastAsia"/>
        </w:rPr>
        <w:t>涨行业</w:t>
      </w:r>
      <w:proofErr w:type="gramEnd"/>
      <w:r w:rsidR="009647C4">
        <w:rPr>
          <w:rFonts w:ascii="微软雅黑" w:eastAsia="微软雅黑" w:hAnsi="微软雅黑" w:hint="eastAsia"/>
        </w:rPr>
        <w:t>估值较高等因素，三月份组合单月回撤1</w:t>
      </w:r>
      <w:r w:rsidR="009647C4">
        <w:rPr>
          <w:rFonts w:ascii="微软雅黑" w:eastAsia="微软雅黑" w:hAnsi="微软雅黑"/>
        </w:rPr>
        <w:t>1.5%，相较</w:t>
      </w:r>
      <w:proofErr w:type="gramStart"/>
      <w:r w:rsidR="009647C4">
        <w:rPr>
          <w:rFonts w:ascii="微软雅黑" w:eastAsia="微软雅黑" w:hAnsi="微软雅黑"/>
        </w:rPr>
        <w:t>基准跑输较多</w:t>
      </w:r>
      <w:proofErr w:type="gramEnd"/>
      <w:r w:rsidR="009647C4">
        <w:rPr>
          <w:rFonts w:ascii="微软雅黑" w:eastAsia="微软雅黑" w:hAnsi="微软雅黑"/>
        </w:rPr>
        <w:t>，</w:t>
      </w:r>
      <w:r w:rsidR="009647C4">
        <w:rPr>
          <w:rFonts w:ascii="微软雅黑" w:eastAsia="微软雅黑" w:hAnsi="微软雅黑" w:hint="eastAsia"/>
        </w:rPr>
        <w:t>成为</w:t>
      </w:r>
      <w:r w:rsidR="009647C4">
        <w:rPr>
          <w:rFonts w:ascii="微软雅黑" w:eastAsia="微软雅黑" w:hAnsi="微软雅黑"/>
        </w:rPr>
        <w:t>一季度组合运作的主要拖累。</w:t>
      </w:r>
      <w:r w:rsidR="009647C4" w:rsidRPr="00602C96">
        <w:rPr>
          <w:rFonts w:ascii="微软雅黑" w:eastAsia="微软雅黑" w:hAnsi="微软雅黑" w:hint="eastAsia"/>
        </w:rPr>
        <w:t>组合在年初对策略进行了一定调整，组合在保持核心部分稳定的情况下，卫星部分更加注重产业趋势及市场反馈，当前有一定逆风，但随着估值消化、</w:t>
      </w:r>
      <w:r w:rsidR="009647C4" w:rsidRPr="00602C96">
        <w:rPr>
          <w:rFonts w:ascii="微软雅黑" w:eastAsia="微软雅黑" w:hAnsi="微软雅黑"/>
        </w:rPr>
        <w:t>产业趋势从业绩端印证，主线将逐步清晰</w:t>
      </w:r>
      <w:r w:rsidR="009647C4" w:rsidRPr="00602C96">
        <w:rPr>
          <w:rFonts w:ascii="微软雅黑" w:eastAsia="微软雅黑" w:hAnsi="微软雅黑" w:hint="eastAsia"/>
        </w:rPr>
        <w:t>，</w:t>
      </w:r>
      <w:r w:rsidR="009647C4" w:rsidRPr="00602C96">
        <w:rPr>
          <w:rFonts w:ascii="微软雅黑" w:eastAsia="微软雅黑" w:hAnsi="微软雅黑"/>
        </w:rPr>
        <w:t>地缘政治大概率边际转暖，我们仍对</w:t>
      </w:r>
      <w:r w:rsidR="009647C4" w:rsidRPr="00602C96">
        <w:rPr>
          <w:rFonts w:ascii="微软雅黑" w:eastAsia="微软雅黑" w:hAnsi="微软雅黑" w:hint="eastAsia"/>
        </w:rPr>
        <w:t>二季度有信心。</w:t>
      </w:r>
    </w:p>
    <w:p w14:paraId="1CAF5DE8" w14:textId="77777777" w:rsidR="007F3872" w:rsidRPr="00DF26D2" w:rsidRDefault="007F3872" w:rsidP="007F3872">
      <w:pPr>
        <w:rPr>
          <w:rFonts w:ascii="微软雅黑" w:eastAsia="微软雅黑" w:hAnsi="微软雅黑"/>
          <w:b/>
          <w:sz w:val="24"/>
          <w:szCs w:val="24"/>
        </w:rPr>
      </w:pPr>
      <w:r w:rsidRPr="00DF26D2">
        <w:rPr>
          <w:rFonts w:ascii="微软雅黑" w:eastAsia="微软雅黑" w:hAnsi="微软雅黑" w:hint="eastAsia"/>
          <w:b/>
          <w:sz w:val="24"/>
          <w:szCs w:val="24"/>
        </w:rPr>
        <w:t>四、</w:t>
      </w:r>
      <w:r w:rsidRPr="00DF26D2">
        <w:rPr>
          <w:rFonts w:ascii="微软雅黑" w:eastAsia="微软雅黑" w:hAnsi="微软雅黑"/>
          <w:b/>
          <w:sz w:val="24"/>
          <w:szCs w:val="24"/>
        </w:rPr>
        <w:t>市场回顾</w:t>
      </w:r>
    </w:p>
    <w:p w14:paraId="4AC9591C" w14:textId="1B815C7B" w:rsidR="00722E32" w:rsidRDefault="00602C96" w:rsidP="00353832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一</w:t>
      </w:r>
      <w:r w:rsidR="00353832">
        <w:rPr>
          <w:rFonts w:ascii="微软雅黑" w:eastAsia="微软雅黑" w:hAnsi="微软雅黑" w:hint="eastAsia"/>
        </w:rPr>
        <w:t>季度</w:t>
      </w:r>
      <w:r w:rsidR="00722E32" w:rsidRPr="00722E32">
        <w:rPr>
          <w:rFonts w:ascii="微软雅黑" w:eastAsia="微软雅黑" w:hAnsi="微软雅黑" w:hint="eastAsia"/>
        </w:rPr>
        <w:t>A股</w:t>
      </w:r>
      <w:r>
        <w:rPr>
          <w:rFonts w:ascii="微软雅黑" w:eastAsia="微软雅黑" w:hAnsi="微软雅黑" w:hint="eastAsia"/>
        </w:rPr>
        <w:t>市场走势如正“A”型</w:t>
      </w:r>
      <w:r w:rsidR="00722E32" w:rsidRPr="00722E32">
        <w:rPr>
          <w:rFonts w:ascii="微软雅黑" w:eastAsia="微软雅黑" w:hAnsi="微软雅黑" w:hint="eastAsia"/>
        </w:rPr>
        <w:t>，</w:t>
      </w:r>
      <w:r w:rsidRPr="00602C96">
        <w:rPr>
          <w:rFonts w:ascii="微软雅黑" w:eastAsia="微软雅黑" w:hAnsi="微软雅黑" w:hint="eastAsia"/>
        </w:rPr>
        <w:t>呈现“冲高-横盘-回落”三段式走势</w:t>
      </w:r>
      <w:r>
        <w:rPr>
          <w:rFonts w:ascii="微软雅黑" w:eastAsia="微软雅黑" w:hAnsi="微软雅黑" w:hint="eastAsia"/>
        </w:rPr>
        <w:t>。</w:t>
      </w:r>
      <w:r w:rsidR="00722E32" w:rsidRPr="00722E32">
        <w:rPr>
          <w:rFonts w:ascii="微软雅黑" w:eastAsia="微软雅黑" w:hAnsi="微软雅黑" w:hint="eastAsia"/>
        </w:rPr>
        <w:t>指数层面</w:t>
      </w:r>
      <w:r>
        <w:rPr>
          <w:rFonts w:ascii="微软雅黑" w:eastAsia="微软雅黑" w:hAnsi="微软雅黑" w:hint="eastAsia"/>
        </w:rPr>
        <w:t>也</w:t>
      </w:r>
      <w:r>
        <w:rPr>
          <w:rFonts w:ascii="微软雅黑" w:eastAsia="微软雅黑" w:hAnsi="微软雅黑" w:hint="eastAsia"/>
        </w:rPr>
        <w:lastRenderedPageBreak/>
        <w:t>有结构性分化</w:t>
      </w:r>
      <w:r w:rsidR="00722E32" w:rsidRPr="00722E32">
        <w:rPr>
          <w:rFonts w:ascii="微软雅黑" w:eastAsia="微软雅黑" w:hAnsi="微软雅黑" w:hint="eastAsia"/>
        </w:rPr>
        <w:t>，上证综指</w:t>
      </w:r>
      <w:r>
        <w:rPr>
          <w:rFonts w:ascii="微软雅黑" w:eastAsia="微软雅黑" w:hAnsi="微软雅黑" w:hint="eastAsia"/>
        </w:rPr>
        <w:t>跌-</w:t>
      </w:r>
      <w:r>
        <w:rPr>
          <w:rFonts w:ascii="微软雅黑" w:eastAsia="微软雅黑" w:hAnsi="微软雅黑"/>
        </w:rPr>
        <w:t>1.9</w:t>
      </w:r>
      <w:r w:rsidR="00722E32" w:rsidRPr="00722E32">
        <w:rPr>
          <w:rFonts w:ascii="微软雅黑" w:eastAsia="微软雅黑" w:hAnsi="微软雅黑" w:hint="eastAsia"/>
        </w:rPr>
        <w:t>%、沪深300指数</w:t>
      </w:r>
      <w:r>
        <w:rPr>
          <w:rFonts w:ascii="微软雅黑" w:eastAsia="微软雅黑" w:hAnsi="微软雅黑" w:hint="eastAsia"/>
        </w:rPr>
        <w:t>跌</w:t>
      </w:r>
      <w:r>
        <w:rPr>
          <w:rFonts w:ascii="微软雅黑" w:eastAsia="微软雅黑" w:hAnsi="微软雅黑"/>
        </w:rPr>
        <w:t>-3.9</w:t>
      </w:r>
      <w:r w:rsidR="00722E32" w:rsidRPr="00722E32">
        <w:rPr>
          <w:rFonts w:ascii="微软雅黑" w:eastAsia="微软雅黑" w:hAnsi="微软雅黑" w:hint="eastAsia"/>
        </w:rPr>
        <w:t>%、</w:t>
      </w:r>
      <w:r>
        <w:rPr>
          <w:rFonts w:ascii="微软雅黑" w:eastAsia="微软雅黑" w:hAnsi="微软雅黑" w:hint="eastAsia"/>
        </w:rPr>
        <w:t>中证5</w:t>
      </w:r>
      <w:r>
        <w:rPr>
          <w:rFonts w:ascii="微软雅黑" w:eastAsia="微软雅黑" w:hAnsi="微软雅黑"/>
        </w:rPr>
        <w:t>00涨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.0%，中证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000涨</w:t>
      </w:r>
      <w:r>
        <w:rPr>
          <w:rFonts w:ascii="微软雅黑" w:eastAsia="微软雅黑" w:hAnsi="微软雅黑" w:hint="eastAsia"/>
        </w:rPr>
        <w:t>0</w:t>
      </w:r>
      <w:r>
        <w:rPr>
          <w:rFonts w:ascii="微软雅黑" w:eastAsia="微软雅黑" w:hAnsi="微软雅黑"/>
        </w:rPr>
        <w:t>.3%</w:t>
      </w:r>
      <w:r w:rsidR="00722E32" w:rsidRPr="00722E32">
        <w:rPr>
          <w:rFonts w:ascii="微软雅黑" w:eastAsia="微软雅黑" w:hAnsi="微软雅黑" w:hint="eastAsia"/>
        </w:rPr>
        <w:t>；风格</w:t>
      </w:r>
      <w:r>
        <w:rPr>
          <w:rFonts w:ascii="微软雅黑" w:eastAsia="微软雅黑" w:hAnsi="微软雅黑" w:hint="eastAsia"/>
        </w:rPr>
        <w:t>上有周期价值强于成长</w:t>
      </w:r>
      <w:r w:rsidR="00722E32" w:rsidRPr="00722E32">
        <w:rPr>
          <w:rFonts w:ascii="微软雅黑" w:eastAsia="微软雅黑" w:hAnsi="微软雅黑" w:hint="eastAsia"/>
        </w:rPr>
        <w:t>；</w:t>
      </w:r>
      <w:proofErr w:type="gramStart"/>
      <w:r w:rsidR="00722E32" w:rsidRPr="00722E32">
        <w:rPr>
          <w:rFonts w:ascii="微软雅黑" w:eastAsia="微软雅黑" w:hAnsi="微软雅黑" w:hint="eastAsia"/>
        </w:rPr>
        <w:t>申万一级行业</w:t>
      </w:r>
      <w:r>
        <w:rPr>
          <w:rFonts w:ascii="微软雅黑" w:eastAsia="微软雅黑" w:hAnsi="微软雅黑" w:hint="eastAsia"/>
        </w:rPr>
        <w:t>涨幅</w:t>
      </w:r>
      <w:proofErr w:type="gramEnd"/>
      <w:r>
        <w:rPr>
          <w:rFonts w:ascii="微软雅黑" w:eastAsia="微软雅黑" w:hAnsi="微软雅黑" w:hint="eastAsia"/>
        </w:rPr>
        <w:t>前三行业为煤炭（1</w:t>
      </w:r>
      <w:r>
        <w:rPr>
          <w:rFonts w:ascii="微软雅黑" w:eastAsia="微软雅黑" w:hAnsi="微软雅黑"/>
        </w:rPr>
        <w:t>6.8%</w:t>
      </w:r>
      <w:r>
        <w:rPr>
          <w:rFonts w:ascii="微软雅黑" w:eastAsia="微软雅黑" w:hAnsi="微软雅黑" w:hint="eastAsia"/>
        </w:rPr>
        <w:t>）、石油石化（1</w:t>
      </w:r>
      <w:r>
        <w:rPr>
          <w:rFonts w:ascii="微软雅黑" w:eastAsia="微软雅黑" w:hAnsi="微软雅黑"/>
        </w:rPr>
        <w:t>5.4%</w:t>
      </w:r>
      <w:r>
        <w:rPr>
          <w:rFonts w:ascii="微软雅黑" w:eastAsia="微软雅黑" w:hAnsi="微软雅黑" w:hint="eastAsia"/>
        </w:rPr>
        <w:t>）</w:t>
      </w:r>
      <w:r w:rsidRPr="00602C96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公用事业（9</w:t>
      </w:r>
      <w:r>
        <w:rPr>
          <w:rFonts w:ascii="微软雅黑" w:eastAsia="微软雅黑" w:hAnsi="微软雅黑"/>
        </w:rPr>
        <w:t>.2%</w:t>
      </w:r>
      <w:r>
        <w:rPr>
          <w:rFonts w:ascii="微软雅黑" w:eastAsia="微软雅黑" w:hAnsi="微软雅黑" w:hint="eastAsia"/>
        </w:rPr>
        <w:t>）。</w:t>
      </w:r>
      <w:r w:rsidRPr="00602C96">
        <w:rPr>
          <w:rFonts w:ascii="微软雅黑" w:eastAsia="微软雅黑" w:hAnsi="微软雅黑" w:hint="eastAsia"/>
        </w:rPr>
        <w:t>具体看，1月上旬受全球降息预期与复苏交易共振影响，场外资金借春季躁动预期大幅入场，沪指一度冲击4200点，全A创下3.99万亿天量的成交，商业航天、AI应用等题材领涨；1月中旬到2月底，面对过热情绪，监管政策有所收紧，叠加约万亿ETF净赎回，市场进入横盘消化期，主线切换至AI通胀与周期涨价的品种；3月份，美伊冲突升级导致霍尔木兹</w:t>
      </w:r>
      <w:proofErr w:type="gramStart"/>
      <w:r w:rsidRPr="00602C96">
        <w:rPr>
          <w:rFonts w:ascii="微软雅黑" w:eastAsia="微软雅黑" w:hAnsi="微软雅黑" w:hint="eastAsia"/>
        </w:rPr>
        <w:t>海峡断运担忧</w:t>
      </w:r>
      <w:proofErr w:type="gramEnd"/>
      <w:r w:rsidRPr="00602C96">
        <w:rPr>
          <w:rFonts w:ascii="微软雅黑" w:eastAsia="微软雅黑" w:hAnsi="微软雅黑" w:hint="eastAsia"/>
        </w:rPr>
        <w:t>，原油价格飙升引发全球滞胀与衰退交易，A股风险偏好受挫，指数剧烈调整。</w:t>
      </w:r>
    </w:p>
    <w:p w14:paraId="0E066179" w14:textId="7B0D5D83" w:rsidR="007F3872" w:rsidRDefault="007F3872" w:rsidP="007F3872">
      <w:pPr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五</w:t>
      </w:r>
      <w:r w:rsidRPr="001617F8">
        <w:rPr>
          <w:rFonts w:ascii="微软雅黑" w:eastAsia="微软雅黑" w:hAnsi="微软雅黑" w:hint="eastAsia"/>
          <w:b/>
          <w:sz w:val="24"/>
          <w:szCs w:val="24"/>
        </w:rPr>
        <w:t>、</w:t>
      </w:r>
      <w:r>
        <w:rPr>
          <w:rFonts w:ascii="微软雅黑" w:eastAsia="微软雅黑" w:hAnsi="微软雅黑" w:hint="eastAsia"/>
          <w:b/>
          <w:sz w:val="24"/>
          <w:szCs w:val="24"/>
        </w:rPr>
        <w:t>投资</w:t>
      </w:r>
      <w:r w:rsidRPr="001617F8">
        <w:rPr>
          <w:rFonts w:ascii="微软雅黑" w:eastAsia="微软雅黑" w:hAnsi="微软雅黑"/>
          <w:b/>
          <w:sz w:val="24"/>
          <w:szCs w:val="24"/>
        </w:rPr>
        <w:t>展望</w:t>
      </w:r>
    </w:p>
    <w:p w14:paraId="28016017" w14:textId="259C2767" w:rsidR="00602C96" w:rsidRDefault="007F3872" w:rsidP="007F3872">
      <w:pPr>
        <w:rPr>
          <w:rFonts w:ascii="微软雅黑" w:eastAsia="微软雅黑" w:hAnsi="微软雅黑"/>
        </w:rPr>
      </w:pPr>
      <w:r w:rsidRPr="00DF26D2">
        <w:rPr>
          <w:rFonts w:ascii="微软雅黑" w:eastAsia="微软雅黑" w:hAnsi="微软雅黑" w:hint="eastAsia"/>
        </w:rPr>
        <w:tab/>
      </w:r>
      <w:r w:rsidR="00602C96" w:rsidRPr="00602C96">
        <w:rPr>
          <w:rFonts w:ascii="微软雅黑" w:eastAsia="微软雅黑" w:hAnsi="微软雅黑" w:hint="eastAsia"/>
        </w:rPr>
        <w:t>二季度A股有望震荡向上，核心驱动力将从一季度的“流动性与情绪驱动”的春季行情转向“盈利验证与政策预期”，短期受制于伊朗问题的发酵与全球通胀预期的反复，市场可能仍需震荡磨底，较难迅速复</w:t>
      </w:r>
      <w:proofErr w:type="gramStart"/>
      <w:r w:rsidR="00602C96" w:rsidRPr="00602C96">
        <w:rPr>
          <w:rFonts w:ascii="微软雅黑" w:eastAsia="微软雅黑" w:hAnsi="微软雅黑" w:hint="eastAsia"/>
        </w:rPr>
        <w:t>刻去年</w:t>
      </w:r>
      <w:proofErr w:type="gramEnd"/>
      <w:r w:rsidR="00602C96" w:rsidRPr="00602C96">
        <w:rPr>
          <w:rFonts w:ascii="微软雅黑" w:eastAsia="微软雅黑" w:hAnsi="微软雅黑" w:hint="eastAsia"/>
        </w:rPr>
        <w:t>对等关税时期“V形反转”的凌厉走势。但随着外部环境的边际缓和与内需政策的持续发力，估值的消化，A股有望在二季度中后期迎来向上拐点。</w:t>
      </w:r>
      <w:r w:rsidR="00FD0A34" w:rsidRPr="00FD0A34">
        <w:rPr>
          <w:rFonts w:ascii="微软雅黑" w:eastAsia="微软雅黑" w:hAnsi="微软雅黑" w:hint="eastAsia"/>
        </w:rPr>
        <w:t>3月制造业PMI指数50.4处于荣枯线之上，而4月份是A股年报和</w:t>
      </w:r>
      <w:proofErr w:type="gramStart"/>
      <w:r w:rsidR="00FD0A34" w:rsidRPr="00FD0A34">
        <w:rPr>
          <w:rFonts w:ascii="微软雅黑" w:eastAsia="微软雅黑" w:hAnsi="微软雅黑" w:hint="eastAsia"/>
        </w:rPr>
        <w:t>一</w:t>
      </w:r>
      <w:proofErr w:type="gramEnd"/>
      <w:r w:rsidR="00FD0A34" w:rsidRPr="00FD0A34">
        <w:rPr>
          <w:rFonts w:ascii="微软雅黑" w:eastAsia="微软雅黑" w:hAnsi="微软雅黑" w:hint="eastAsia"/>
        </w:rPr>
        <w:t>季报的密集披露期，在宏观经济弱复苏的背景下，企业盈利分化，科技、</w:t>
      </w:r>
      <w:r w:rsidR="00FD0A34">
        <w:rPr>
          <w:rFonts w:ascii="微软雅黑" w:eastAsia="微软雅黑" w:hAnsi="微软雅黑" w:hint="eastAsia"/>
        </w:rPr>
        <w:t>能源</w:t>
      </w:r>
      <w:r w:rsidR="00FD0A34" w:rsidRPr="00FD0A34">
        <w:rPr>
          <w:rFonts w:ascii="微软雅黑" w:eastAsia="微软雅黑" w:hAnsi="微软雅黑" w:hint="eastAsia"/>
        </w:rPr>
        <w:t>、内需</w:t>
      </w:r>
      <w:r w:rsidR="00FD0A34">
        <w:rPr>
          <w:rFonts w:ascii="微软雅黑" w:eastAsia="微软雅黑" w:hAnsi="微软雅黑" w:hint="eastAsia"/>
        </w:rPr>
        <w:t>三大方向大概率仍是投资主线</w:t>
      </w:r>
      <w:r w:rsidR="00FD0A34" w:rsidRPr="00FD0A34">
        <w:rPr>
          <w:rFonts w:ascii="微软雅黑" w:eastAsia="微软雅黑" w:hAnsi="微软雅黑" w:hint="eastAsia"/>
        </w:rPr>
        <w:t>。</w:t>
      </w:r>
      <w:proofErr w:type="gramStart"/>
      <w:r w:rsidR="00FD0A34">
        <w:rPr>
          <w:rFonts w:ascii="微软雅黑" w:eastAsia="微软雅黑" w:hAnsi="微软雅黑" w:hint="eastAsia"/>
        </w:rPr>
        <w:t>算力通胀</w:t>
      </w:r>
      <w:proofErr w:type="gramEnd"/>
      <w:r w:rsidR="00FD0A34">
        <w:rPr>
          <w:rFonts w:ascii="微软雅黑" w:eastAsia="微软雅黑" w:hAnsi="微软雅黑" w:hint="eastAsia"/>
        </w:rPr>
        <w:t>时代</w:t>
      </w:r>
      <w:r w:rsidR="00FD0A34" w:rsidRPr="00FD0A34">
        <w:rPr>
          <w:rFonts w:ascii="微软雅黑" w:eastAsia="微软雅黑" w:hAnsi="微软雅黑" w:hint="eastAsia"/>
        </w:rPr>
        <w:t>，AI科技行情将继续演绎，但随着硬件环节估值的快速拔高与交易拥挤度的上升，二季度AI主线的投资逻辑或向纵深演进。</w:t>
      </w:r>
      <w:r w:rsidR="00FD0A34">
        <w:rPr>
          <w:rFonts w:ascii="微软雅黑" w:eastAsia="微软雅黑" w:hAnsi="微软雅黑" w:hint="eastAsia"/>
        </w:rPr>
        <w:t>能源与内需，则作为哑铃另一端，在宏观修复与地缘政治仍有反复的情况下仍有配置价值。</w:t>
      </w:r>
      <w:bookmarkStart w:id="0" w:name="_GoBack"/>
      <w:bookmarkEnd w:id="0"/>
    </w:p>
    <w:p w14:paraId="79EE6B65" w14:textId="66FF9BEB" w:rsidR="007E291D" w:rsidRDefault="007E291D" w:rsidP="007F387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 xml:space="preserve"> </w:t>
      </w:r>
    </w:p>
    <w:p w14:paraId="1F7FCA28" w14:textId="378DF652" w:rsidR="007F3872" w:rsidRPr="0011171C" w:rsidRDefault="007F3872" w:rsidP="007F3872">
      <w:pPr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六</w:t>
      </w:r>
      <w:r w:rsidRPr="000D724E">
        <w:rPr>
          <w:rFonts w:ascii="微软雅黑" w:eastAsia="微软雅黑" w:hAnsi="微软雅黑" w:hint="eastAsia"/>
          <w:b/>
          <w:sz w:val="24"/>
          <w:szCs w:val="24"/>
        </w:rPr>
        <w:t>、</w:t>
      </w:r>
      <w:r>
        <w:rPr>
          <w:rFonts w:ascii="微软雅黑" w:eastAsia="微软雅黑" w:hAnsi="微软雅黑" w:hint="eastAsia"/>
          <w:b/>
          <w:sz w:val="24"/>
          <w:szCs w:val="24"/>
        </w:rPr>
        <w:t>投资建议</w:t>
      </w:r>
    </w:p>
    <w:p w14:paraId="047B174F" w14:textId="7DE179D6" w:rsidR="007F3872" w:rsidRDefault="007F3872" w:rsidP="007F3872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建议继续持有，</w:t>
      </w:r>
      <w:r w:rsidR="007E291D">
        <w:rPr>
          <w:rFonts w:ascii="微软雅黑" w:eastAsia="微软雅黑" w:hAnsi="微软雅黑" w:hint="eastAsia"/>
        </w:rPr>
        <w:t>并在震荡市场中做好动平衡。</w:t>
      </w:r>
    </w:p>
    <w:p w14:paraId="6A98A7C0" w14:textId="77777777" w:rsidR="00270DC5" w:rsidRPr="007F3872" w:rsidRDefault="00270DC5" w:rsidP="00AD778F">
      <w:pPr>
        <w:jc w:val="left"/>
        <w:rPr>
          <w:rFonts w:ascii="微软雅黑" w:eastAsia="微软雅黑" w:hAnsi="微软雅黑"/>
        </w:rPr>
      </w:pPr>
    </w:p>
    <w:p w14:paraId="30DD594C" w14:textId="77777777" w:rsidR="0061175E" w:rsidRPr="004C0EE1" w:rsidRDefault="0061175E" w:rsidP="0061175E">
      <w:pPr>
        <w:rPr>
          <w:rFonts w:ascii="楷体" w:eastAsia="楷体" w:hAnsi="楷体" w:cs="楷体"/>
          <w:sz w:val="18"/>
          <w:szCs w:val="21"/>
        </w:rPr>
      </w:pPr>
      <w:r w:rsidRPr="004C0EE1">
        <w:rPr>
          <w:rFonts w:ascii="楷体" w:eastAsia="楷体" w:hAnsi="楷体" w:cs="楷体" w:hint="eastAsia"/>
          <w:sz w:val="18"/>
          <w:szCs w:val="21"/>
        </w:rPr>
        <w:lastRenderedPageBreak/>
        <w:t>免责声明：</w:t>
      </w:r>
    </w:p>
    <w:p w14:paraId="36B77C0C" w14:textId="77777777" w:rsidR="0061175E" w:rsidRPr="004C0EE1" w:rsidRDefault="0061175E" w:rsidP="0061175E">
      <w:pPr>
        <w:rPr>
          <w:rFonts w:cs="Times New Roman"/>
          <w:color w:val="000000"/>
          <w:kern w:val="0"/>
          <w:sz w:val="18"/>
          <w:szCs w:val="21"/>
        </w:rPr>
      </w:pPr>
      <w:r w:rsidRPr="004C0EE1">
        <w:rPr>
          <w:rFonts w:ascii="楷体" w:eastAsia="楷体" w:hAnsi="楷体" w:cs="Times New Roman" w:hint="eastAsia"/>
          <w:color w:val="000000"/>
          <w:sz w:val="18"/>
          <w:szCs w:val="21"/>
        </w:rPr>
        <w:t>载于本资料内的信息、数据由嘉实财富管理有限公司于完全保密的基础下提供给阁下，仅供内部交流使用。未经本公司事先书面许可，任何人不得将本资料或其任何部分以任何形式进行派发、复制、转载或发布，且不得对本资料进行任何有悖原意的删节或修改。</w:t>
      </w:r>
      <w:r w:rsidRPr="004C0EE1">
        <w:rPr>
          <w:rFonts w:ascii="楷体" w:eastAsia="楷体" w:hAnsi="楷体" w:cs="Times New Roman"/>
          <w:color w:val="000000"/>
          <w:sz w:val="18"/>
          <w:szCs w:val="21"/>
        </w:rPr>
        <w:t xml:space="preserve"> </w:t>
      </w:r>
    </w:p>
    <w:p w14:paraId="381E9E1E" w14:textId="77777777" w:rsidR="0061175E" w:rsidRPr="004C0EE1" w:rsidRDefault="0061175E" w:rsidP="0061175E">
      <w:pPr>
        <w:rPr>
          <w:rFonts w:cs="Times New Roman"/>
          <w:color w:val="000000"/>
          <w:sz w:val="18"/>
          <w:szCs w:val="21"/>
        </w:rPr>
      </w:pPr>
      <w:r w:rsidRPr="004C0EE1">
        <w:rPr>
          <w:rFonts w:ascii="楷体" w:eastAsia="楷体" w:hAnsi="楷体" w:cs="Times New Roman" w:hint="eastAsia"/>
          <w:color w:val="000000"/>
          <w:sz w:val="18"/>
          <w:szCs w:val="21"/>
        </w:rPr>
        <w:t>本资料内的信息以及意见均取自我司认为可信赖的来源，但我司并不就其准确性或完整性</w:t>
      </w:r>
      <w:proofErr w:type="gramStart"/>
      <w:r w:rsidRPr="004C0EE1">
        <w:rPr>
          <w:rFonts w:ascii="楷体" w:eastAsia="楷体" w:hAnsi="楷体" w:cs="Times New Roman" w:hint="eastAsia"/>
          <w:color w:val="000000"/>
          <w:sz w:val="18"/>
          <w:szCs w:val="21"/>
        </w:rPr>
        <w:t>作出</w:t>
      </w:r>
      <w:proofErr w:type="gramEnd"/>
      <w:r w:rsidRPr="004C0EE1">
        <w:rPr>
          <w:rFonts w:ascii="楷体" w:eastAsia="楷体" w:hAnsi="楷体" w:cs="Times New Roman" w:hint="eastAsia"/>
          <w:color w:val="000000"/>
          <w:sz w:val="18"/>
          <w:szCs w:val="21"/>
        </w:rPr>
        <w:t>明确或隐含的声明或保证，而阁下亦不应就此</w:t>
      </w:r>
      <w:proofErr w:type="gramStart"/>
      <w:r w:rsidRPr="004C0EE1">
        <w:rPr>
          <w:rFonts w:ascii="楷体" w:eastAsia="楷体" w:hAnsi="楷体" w:cs="Times New Roman" w:hint="eastAsia"/>
          <w:color w:val="000000"/>
          <w:sz w:val="18"/>
          <w:szCs w:val="21"/>
        </w:rPr>
        <w:t>作出</w:t>
      </w:r>
      <w:proofErr w:type="gramEnd"/>
      <w:r w:rsidRPr="004C0EE1">
        <w:rPr>
          <w:rFonts w:ascii="楷体" w:eastAsia="楷体" w:hAnsi="楷体" w:cs="Times New Roman" w:hint="eastAsia"/>
          <w:color w:val="000000"/>
          <w:sz w:val="18"/>
          <w:szCs w:val="21"/>
        </w:rPr>
        <w:t>依赖。在任何情况下，本资料中的信息或所表述的意见并不构成对任何人的投资建议，也没有考虑到个别客户特殊的投资目标、财务状况或需求，不应被作为投资决策的依据。本资料亦不属于购买任何产品</w:t>
      </w:r>
      <w:r w:rsidRPr="004C0EE1">
        <w:rPr>
          <w:rFonts w:ascii="楷体" w:eastAsia="楷体" w:hAnsi="楷体" w:cs="Times New Roman"/>
          <w:color w:val="000000"/>
          <w:sz w:val="18"/>
          <w:szCs w:val="21"/>
        </w:rPr>
        <w:t>/</w:t>
      </w:r>
      <w:r w:rsidRPr="004C0EE1">
        <w:rPr>
          <w:rFonts w:ascii="楷体" w:eastAsia="楷体" w:hAnsi="楷体" w:cs="Times New Roman" w:hint="eastAsia"/>
          <w:color w:val="000000"/>
          <w:sz w:val="18"/>
          <w:szCs w:val="21"/>
        </w:rPr>
        <w:t>产品组合或其他投资之要约或要约邀请。</w:t>
      </w:r>
    </w:p>
    <w:p w14:paraId="09A4C2DD" w14:textId="77777777" w:rsidR="0061175E" w:rsidRPr="000D16B6" w:rsidRDefault="0061175E" w:rsidP="0061175E">
      <w:pPr>
        <w:jc w:val="left"/>
      </w:pPr>
      <w:r w:rsidRPr="004C0EE1">
        <w:rPr>
          <w:rFonts w:ascii="楷体" w:eastAsia="楷体" w:hAnsi="楷体" w:cs="Tahoma" w:hint="eastAsia"/>
          <w:color w:val="000000"/>
          <w:sz w:val="18"/>
          <w:szCs w:val="21"/>
        </w:rPr>
        <w:t>投资有风险。投资者应于投资前认真阅读相关产品</w:t>
      </w:r>
      <w:r w:rsidRPr="004C0EE1">
        <w:rPr>
          <w:rFonts w:ascii="楷体" w:eastAsia="楷体" w:hAnsi="楷体" w:cs="Tahoma"/>
          <w:color w:val="000000"/>
          <w:sz w:val="18"/>
          <w:szCs w:val="21"/>
        </w:rPr>
        <w:t>/</w:t>
      </w:r>
      <w:r w:rsidRPr="004C0EE1">
        <w:rPr>
          <w:rFonts w:ascii="楷体" w:eastAsia="楷体" w:hAnsi="楷体" w:cs="Tahoma" w:hint="eastAsia"/>
          <w:color w:val="000000"/>
          <w:sz w:val="18"/>
          <w:szCs w:val="21"/>
        </w:rPr>
        <w:t>产品组合法律文件，产品</w:t>
      </w:r>
      <w:r w:rsidRPr="004C0EE1">
        <w:rPr>
          <w:rFonts w:ascii="楷体" w:eastAsia="楷体" w:hAnsi="楷体" w:cs="Tahoma"/>
          <w:color w:val="000000"/>
          <w:sz w:val="18"/>
          <w:szCs w:val="21"/>
        </w:rPr>
        <w:t>/</w:t>
      </w:r>
      <w:r w:rsidRPr="004C0EE1">
        <w:rPr>
          <w:rFonts w:ascii="楷体" w:eastAsia="楷体" w:hAnsi="楷体" w:cs="Tahoma" w:hint="eastAsia"/>
          <w:color w:val="000000"/>
          <w:sz w:val="18"/>
          <w:szCs w:val="21"/>
        </w:rPr>
        <w:t>产品组合过往业绩并不代表其未来表现。我司不保证产品</w:t>
      </w:r>
      <w:r w:rsidRPr="004C0EE1">
        <w:rPr>
          <w:rFonts w:ascii="楷体" w:eastAsia="楷体" w:hAnsi="楷体" w:cs="Tahoma"/>
          <w:color w:val="000000"/>
          <w:sz w:val="18"/>
          <w:szCs w:val="21"/>
        </w:rPr>
        <w:t>/</w:t>
      </w:r>
      <w:r w:rsidRPr="004C0EE1">
        <w:rPr>
          <w:rFonts w:ascii="楷体" w:eastAsia="楷体" w:hAnsi="楷体" w:cs="Tahoma" w:hint="eastAsia"/>
          <w:color w:val="000000"/>
          <w:sz w:val="18"/>
          <w:szCs w:val="21"/>
        </w:rPr>
        <w:t>产品组合一定盈利，也不保证最低收益或本金不受损失。投资者应充分考虑其风险承受能力、风险识别能力，谨慎投资。</w:t>
      </w:r>
    </w:p>
    <w:p w14:paraId="10D44339" w14:textId="77777777" w:rsidR="0061175E" w:rsidRPr="0061175E" w:rsidRDefault="0061175E"/>
    <w:sectPr w:rsidR="0061175E" w:rsidRPr="0061175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558D90" w14:textId="77777777" w:rsidR="005C4081" w:rsidRDefault="005C4081" w:rsidP="0061175E">
      <w:r>
        <w:separator/>
      </w:r>
    </w:p>
  </w:endnote>
  <w:endnote w:type="continuationSeparator" w:id="0">
    <w:p w14:paraId="2A0B01E7" w14:textId="77777777" w:rsidR="005C4081" w:rsidRDefault="005C4081" w:rsidP="0061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E2809F" w14:textId="77777777" w:rsidR="005C4081" w:rsidRDefault="005C4081" w:rsidP="0061175E">
      <w:r>
        <w:separator/>
      </w:r>
    </w:p>
  </w:footnote>
  <w:footnote w:type="continuationSeparator" w:id="0">
    <w:p w14:paraId="337B6A21" w14:textId="77777777" w:rsidR="005C4081" w:rsidRDefault="005C4081" w:rsidP="006117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B1A32D" w14:textId="77777777" w:rsidR="0061175E" w:rsidRDefault="0061175E" w:rsidP="0061175E">
    <w:pPr>
      <w:pStyle w:val="a3"/>
      <w:jc w:val="right"/>
    </w:pPr>
    <w:r>
      <w:rPr>
        <w:rFonts w:hint="eastAsia"/>
        <w:noProof/>
      </w:rPr>
      <w:drawing>
        <wp:inline distT="0" distB="0" distL="0" distR="0" wp14:anchorId="246D3592" wp14:editId="0CACF3F0">
          <wp:extent cx="1581150" cy="229196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1694" cy="253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445BD"/>
    <w:multiLevelType w:val="hybridMultilevel"/>
    <w:tmpl w:val="9C0E56AE"/>
    <w:lvl w:ilvl="0" w:tplc="50F2D0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6B7B10"/>
    <w:multiLevelType w:val="hybridMultilevel"/>
    <w:tmpl w:val="B2CA6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2"/>
    <w:rsid w:val="000179BD"/>
    <w:rsid w:val="00061DF7"/>
    <w:rsid w:val="000709A9"/>
    <w:rsid w:val="000C2376"/>
    <w:rsid w:val="000D724E"/>
    <w:rsid w:val="000F2BA8"/>
    <w:rsid w:val="0011171C"/>
    <w:rsid w:val="00144636"/>
    <w:rsid w:val="00144F4C"/>
    <w:rsid w:val="001617F8"/>
    <w:rsid w:val="00162BA4"/>
    <w:rsid w:val="001F1F67"/>
    <w:rsid w:val="00207A89"/>
    <w:rsid w:val="00236A65"/>
    <w:rsid w:val="00267C1C"/>
    <w:rsid w:val="00270DC5"/>
    <w:rsid w:val="002B07E0"/>
    <w:rsid w:val="002D7334"/>
    <w:rsid w:val="00353832"/>
    <w:rsid w:val="003719E2"/>
    <w:rsid w:val="00382D64"/>
    <w:rsid w:val="003C3328"/>
    <w:rsid w:val="003C6F09"/>
    <w:rsid w:val="003D4349"/>
    <w:rsid w:val="003F55D5"/>
    <w:rsid w:val="00433E25"/>
    <w:rsid w:val="004353BC"/>
    <w:rsid w:val="004C389C"/>
    <w:rsid w:val="004F1942"/>
    <w:rsid w:val="00514582"/>
    <w:rsid w:val="0053115C"/>
    <w:rsid w:val="005466C0"/>
    <w:rsid w:val="00547034"/>
    <w:rsid w:val="00550566"/>
    <w:rsid w:val="005668C6"/>
    <w:rsid w:val="00593076"/>
    <w:rsid w:val="005A661B"/>
    <w:rsid w:val="005C4081"/>
    <w:rsid w:val="005E6061"/>
    <w:rsid w:val="00602C96"/>
    <w:rsid w:val="0061175E"/>
    <w:rsid w:val="0061536E"/>
    <w:rsid w:val="00641202"/>
    <w:rsid w:val="00687384"/>
    <w:rsid w:val="00696B8C"/>
    <w:rsid w:val="006B74A7"/>
    <w:rsid w:val="006D3030"/>
    <w:rsid w:val="006E76CF"/>
    <w:rsid w:val="006F175B"/>
    <w:rsid w:val="006F2A83"/>
    <w:rsid w:val="00711DF4"/>
    <w:rsid w:val="00722E32"/>
    <w:rsid w:val="00742469"/>
    <w:rsid w:val="007B31F2"/>
    <w:rsid w:val="007B40EE"/>
    <w:rsid w:val="007D2959"/>
    <w:rsid w:val="007E291D"/>
    <w:rsid w:val="007E540B"/>
    <w:rsid w:val="007E7B8A"/>
    <w:rsid w:val="007F3872"/>
    <w:rsid w:val="00800949"/>
    <w:rsid w:val="0080712A"/>
    <w:rsid w:val="00824367"/>
    <w:rsid w:val="00852784"/>
    <w:rsid w:val="00866F02"/>
    <w:rsid w:val="008816B2"/>
    <w:rsid w:val="00881845"/>
    <w:rsid w:val="008F61F9"/>
    <w:rsid w:val="00907F14"/>
    <w:rsid w:val="00910884"/>
    <w:rsid w:val="00914719"/>
    <w:rsid w:val="009647C4"/>
    <w:rsid w:val="00973B3C"/>
    <w:rsid w:val="00991073"/>
    <w:rsid w:val="009A49AA"/>
    <w:rsid w:val="009D7856"/>
    <w:rsid w:val="009E0F3C"/>
    <w:rsid w:val="009F7184"/>
    <w:rsid w:val="00A03328"/>
    <w:rsid w:val="00A6550D"/>
    <w:rsid w:val="00A73EEC"/>
    <w:rsid w:val="00AC0192"/>
    <w:rsid w:val="00AD013A"/>
    <w:rsid w:val="00AD33D9"/>
    <w:rsid w:val="00AD778F"/>
    <w:rsid w:val="00B26BEC"/>
    <w:rsid w:val="00B562B0"/>
    <w:rsid w:val="00B62255"/>
    <w:rsid w:val="00B75FCF"/>
    <w:rsid w:val="00B80768"/>
    <w:rsid w:val="00BA71A3"/>
    <w:rsid w:val="00BB4B74"/>
    <w:rsid w:val="00C02219"/>
    <w:rsid w:val="00C154C0"/>
    <w:rsid w:val="00C15700"/>
    <w:rsid w:val="00C53744"/>
    <w:rsid w:val="00C55BB6"/>
    <w:rsid w:val="00C7112C"/>
    <w:rsid w:val="00CA1D37"/>
    <w:rsid w:val="00CB4F78"/>
    <w:rsid w:val="00CC2F7C"/>
    <w:rsid w:val="00D62851"/>
    <w:rsid w:val="00D8493E"/>
    <w:rsid w:val="00D8530A"/>
    <w:rsid w:val="00DA066A"/>
    <w:rsid w:val="00DA0B1F"/>
    <w:rsid w:val="00DE294D"/>
    <w:rsid w:val="00E02E7E"/>
    <w:rsid w:val="00E17D89"/>
    <w:rsid w:val="00E27279"/>
    <w:rsid w:val="00E512EA"/>
    <w:rsid w:val="00E52688"/>
    <w:rsid w:val="00ED4A40"/>
    <w:rsid w:val="00EE2966"/>
    <w:rsid w:val="00F5637D"/>
    <w:rsid w:val="00F94C2E"/>
    <w:rsid w:val="00FA01F5"/>
    <w:rsid w:val="00FD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29520"/>
  <w15:chartTrackingRefBased/>
  <w15:docId w15:val="{577601B3-7BA9-4E76-9352-60144180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175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17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17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17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175E"/>
    <w:rPr>
      <w:sz w:val="18"/>
      <w:szCs w:val="18"/>
    </w:rPr>
  </w:style>
  <w:style w:type="paragraph" w:styleId="a5">
    <w:name w:val="List Paragraph"/>
    <w:basedOn w:val="a"/>
    <w:uiPriority w:val="34"/>
    <w:qFormat/>
    <w:rsid w:val="0011171C"/>
    <w:pPr>
      <w:ind w:firstLineChars="200" w:firstLine="420"/>
    </w:pPr>
  </w:style>
  <w:style w:type="paragraph" w:customStyle="1" w:styleId="Default">
    <w:name w:val="Default"/>
    <w:rsid w:val="0011171C"/>
    <w:pPr>
      <w:widowControl w:val="0"/>
      <w:autoSpaceDE w:val="0"/>
      <w:autoSpaceDN w:val="0"/>
      <w:adjustRightInd w:val="0"/>
    </w:pPr>
    <w:rPr>
      <w:rFonts w:ascii="Calibri" w:eastAsia="宋体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关晓峡</dc:creator>
  <cp:keywords/>
  <dc:description/>
  <cp:lastModifiedBy>白昕</cp:lastModifiedBy>
  <cp:revision>2</cp:revision>
  <dcterms:created xsi:type="dcterms:W3CDTF">2026-04-15T07:05:00Z</dcterms:created>
  <dcterms:modified xsi:type="dcterms:W3CDTF">2026-04-15T07:05:00Z</dcterms:modified>
</cp:coreProperties>
</file>