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53F228" w14:textId="6ADD0946" w:rsidR="0061175E" w:rsidRPr="0061175E" w:rsidRDefault="0061175E" w:rsidP="0061175E">
      <w:pPr>
        <w:jc w:val="center"/>
        <w:rPr>
          <w:rFonts w:ascii="微软雅黑" w:eastAsia="微软雅黑" w:hAnsi="微软雅黑" w:cs="楷体"/>
          <w:b/>
          <w:bCs/>
          <w:sz w:val="28"/>
          <w:szCs w:val="28"/>
        </w:rPr>
      </w:pPr>
      <w:r>
        <w:rPr>
          <w:rFonts w:ascii="微软雅黑" w:eastAsia="微软雅黑" w:hAnsi="微软雅黑" w:cs="楷体" w:hint="eastAsia"/>
          <w:b/>
          <w:bCs/>
          <w:sz w:val="28"/>
          <w:szCs w:val="28"/>
        </w:rPr>
        <w:t>嘉实财富玄驹竞速组合</w:t>
      </w:r>
      <w:r>
        <w:rPr>
          <w:rFonts w:ascii="微软雅黑" w:eastAsia="微软雅黑" w:hAnsi="微软雅黑" w:cs="楷体"/>
          <w:b/>
          <w:bCs/>
          <w:sz w:val="28"/>
          <w:szCs w:val="28"/>
        </w:rPr>
        <w:t>2026</w:t>
      </w:r>
      <w:r>
        <w:rPr>
          <w:rFonts w:ascii="微软雅黑" w:eastAsia="微软雅黑" w:hAnsi="微软雅黑" w:cs="楷体" w:hint="eastAsia"/>
          <w:b/>
          <w:bCs/>
          <w:sz w:val="28"/>
          <w:szCs w:val="28"/>
        </w:rPr>
        <w:t>年二季报</w:t>
      </w:r>
    </w:p>
    <w:p w14:paraId="6C228F33" w14:textId="77777777" w:rsidR="0011171C" w:rsidRDefault="0011171C" w:rsidP="0011171C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 w:cs="Times New Roman"/>
          <w:b/>
          <w:bCs/>
          <w:sz w:val="24"/>
          <w:szCs w:val="28"/>
        </w:rPr>
      </w:pPr>
      <w:r>
        <w:rPr>
          <w:rFonts w:ascii="微软雅黑" w:eastAsia="微软雅黑" w:hAnsi="微软雅黑" w:cs="Times New Roman"/>
          <w:b/>
          <w:bCs/>
          <w:sz w:val="24"/>
          <w:szCs w:val="28"/>
        </w:rPr>
        <w:t>重要提示</w:t>
      </w:r>
    </w:p>
    <w:p w14:paraId="290183ED" w14:textId="77777777" w:rsidR="00824367" w:rsidRDefault="00824367" w:rsidP="00824367">
      <w:pPr>
        <w:pStyle w:val="Default"/>
        <w:spacing w:line="360" w:lineRule="auto"/>
        <w:ind w:firstLine="420"/>
        <w:jc w:val="both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嘉实财富</w:t>
      </w:r>
      <w:r>
        <w:rPr>
          <w:rFonts w:ascii="微软雅黑" w:eastAsia="微软雅黑" w:hAnsi="微软雅黑"/>
          <w:sz w:val="21"/>
          <w:szCs w:val="21"/>
        </w:rPr>
        <w:t>承诺以诚实信用、勤勉尽责的原则管理和运用</w:t>
      </w:r>
      <w:r>
        <w:rPr>
          <w:rFonts w:ascii="微软雅黑" w:eastAsia="微软雅黑" w:hAnsi="微软雅黑" w:hint="eastAsia"/>
          <w:sz w:val="21"/>
          <w:szCs w:val="21"/>
        </w:rPr>
        <w:t>投顾组合</w:t>
      </w:r>
      <w:r>
        <w:rPr>
          <w:rFonts w:ascii="微软雅黑" w:eastAsia="微软雅黑" w:hAnsi="微软雅黑"/>
          <w:sz w:val="21"/>
          <w:szCs w:val="21"/>
        </w:rPr>
        <w:t>资产，但不保证一定盈利</w:t>
      </w:r>
      <w:r>
        <w:rPr>
          <w:rFonts w:ascii="微软雅黑" w:eastAsia="微软雅黑" w:hAnsi="微软雅黑" w:hint="eastAsia"/>
          <w:sz w:val="21"/>
          <w:szCs w:val="21"/>
        </w:rPr>
        <w:t>或本金不受损失</w:t>
      </w:r>
      <w:r>
        <w:rPr>
          <w:rFonts w:ascii="微软雅黑" w:eastAsia="微软雅黑" w:hAnsi="微软雅黑"/>
          <w:sz w:val="21"/>
          <w:szCs w:val="21"/>
        </w:rPr>
        <w:t>。</w:t>
      </w:r>
      <w:r>
        <w:rPr>
          <w:rFonts w:ascii="微软雅黑" w:eastAsia="微软雅黑" w:hAnsi="微软雅黑" w:hint="eastAsia"/>
          <w:sz w:val="21"/>
          <w:szCs w:val="21"/>
        </w:rPr>
        <w:t>投顾组合</w:t>
      </w:r>
      <w:r>
        <w:rPr>
          <w:rFonts w:ascii="微软雅黑" w:eastAsia="微软雅黑" w:hAnsi="微软雅黑"/>
          <w:sz w:val="21"/>
          <w:szCs w:val="21"/>
        </w:rPr>
        <w:t>的过往业绩并不代表其未来表现</w:t>
      </w:r>
      <w:r>
        <w:rPr>
          <w:rFonts w:ascii="微软雅黑" w:eastAsia="微软雅黑" w:hAnsi="微软雅黑" w:hint="eastAsia"/>
          <w:sz w:val="21"/>
          <w:szCs w:val="21"/>
        </w:rPr>
        <w:t>，为其他客户创造的收益并不构成业绩表现的保证</w:t>
      </w:r>
      <w:r>
        <w:rPr>
          <w:rFonts w:ascii="微软雅黑" w:eastAsia="微软雅黑" w:hAnsi="微软雅黑"/>
          <w:sz w:val="21"/>
          <w:szCs w:val="21"/>
        </w:rPr>
        <w:t>。</w:t>
      </w:r>
    </w:p>
    <w:p w14:paraId="3A2ED864" w14:textId="60C26E05" w:rsidR="00824367" w:rsidRPr="00D15A57" w:rsidRDefault="00824367" w:rsidP="00824367">
      <w:pPr>
        <w:pStyle w:val="Default"/>
        <w:spacing w:line="360" w:lineRule="auto"/>
        <w:ind w:firstLine="420"/>
        <w:jc w:val="both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投资有风险，投资者在作出投资决策前应仔细阅读</w:t>
      </w:r>
      <w:r>
        <w:rPr>
          <w:rFonts w:ascii="微软雅黑" w:eastAsia="微软雅黑" w:hAnsi="微软雅黑" w:hint="eastAsia"/>
          <w:sz w:val="21"/>
          <w:szCs w:val="21"/>
        </w:rPr>
        <w:t>嘉实财富基金投资顾问服务协议、基金投资顾问服务风险揭示书、组合策略方案说明书等相关法律文件</w:t>
      </w:r>
      <w:r>
        <w:rPr>
          <w:rFonts w:ascii="微软雅黑" w:eastAsia="微软雅黑" w:hAnsi="微软雅黑"/>
          <w:sz w:val="21"/>
          <w:szCs w:val="21"/>
        </w:rPr>
        <w:t>。</w:t>
      </w:r>
    </w:p>
    <w:p w14:paraId="54C1C724" w14:textId="7DC2475A" w:rsidR="00824367" w:rsidRPr="00824367" w:rsidRDefault="00824367" w:rsidP="00824367">
      <w:pPr>
        <w:spacing w:line="360" w:lineRule="auto"/>
        <w:ind w:firstLine="420"/>
        <w:rPr>
          <w:rFonts w:ascii="微软雅黑" w:eastAsia="微软雅黑" w:hAnsi="微软雅黑" w:cs="Times New Roman"/>
          <w:b/>
          <w:bCs/>
          <w:sz w:val="24"/>
          <w:szCs w:val="28"/>
        </w:rPr>
      </w:pPr>
      <w:r>
        <w:rPr>
          <w:rFonts w:ascii="微软雅黑" w:eastAsia="微软雅黑" w:hAnsi="微软雅黑"/>
          <w:szCs w:val="21"/>
        </w:rPr>
        <w:t>本报告期自2026年4月1日至2026年6月30日止。</w:t>
      </w:r>
    </w:p>
    <w:p w14:paraId="690FFABE" w14:textId="6E6FDEC3" w:rsidR="0011171C" w:rsidRPr="00484905" w:rsidRDefault="0011171C" w:rsidP="0011171C">
      <w:pPr>
        <w:spacing w:line="360" w:lineRule="auto"/>
        <w:rPr>
          <w:rFonts w:ascii="微软雅黑" w:eastAsia="微软雅黑" w:hAnsi="微软雅黑" w:cs="Times New Roman"/>
          <w:b/>
          <w:bCs/>
          <w:sz w:val="24"/>
          <w:szCs w:val="28"/>
        </w:rPr>
      </w:pPr>
      <w:r>
        <w:rPr>
          <w:rFonts w:ascii="微软雅黑" w:eastAsia="微软雅黑" w:hAnsi="微软雅黑" w:cs="Times New Roman" w:hint="eastAsia"/>
          <w:b/>
          <w:bCs/>
          <w:sz w:val="24"/>
          <w:szCs w:val="28"/>
        </w:rPr>
        <w:t xml:space="preserve">二、 </w:t>
      </w:r>
      <w:r>
        <w:rPr>
          <w:rFonts w:ascii="微软雅黑" w:eastAsia="微软雅黑" w:hAnsi="微软雅黑" w:cs="Times New Roman"/>
          <w:b/>
          <w:bCs/>
          <w:sz w:val="24"/>
          <w:szCs w:val="28"/>
        </w:rPr>
        <w:t xml:space="preserve"> </w:t>
      </w:r>
      <w:r>
        <w:rPr>
          <w:rFonts w:ascii="微软雅黑" w:eastAsia="微软雅黑" w:hAnsi="微软雅黑" w:cs="Times New Roman" w:hint="eastAsia"/>
          <w:b/>
          <w:bCs/>
          <w:sz w:val="24"/>
          <w:szCs w:val="28"/>
        </w:rPr>
        <w:t>组合目标</w:t>
      </w:r>
    </w:p>
    <w:p w14:paraId="369BD832" w14:textId="682360B6" w:rsidR="00AD778F" w:rsidRPr="00E512EA" w:rsidRDefault="00AD778F" w:rsidP="00AD778F">
      <w:pPr>
        <w:spacing w:line="360" w:lineRule="auto"/>
        <w:ind w:firstLine="420"/>
        <w:jc w:val="left"/>
        <w:rPr>
          <w:rFonts w:ascii="微软雅黑" w:eastAsia="微软雅黑" w:hAnsi="微软雅黑" w:cs="Calibri"/>
          <w:color w:val="000000"/>
          <w:kern w:val="0"/>
          <w:szCs w:val="21"/>
        </w:rPr>
      </w:pPr>
      <w:r>
        <w:rPr>
          <w:rFonts w:ascii="微软雅黑" w:eastAsia="微软雅黑" w:hAnsi="微软雅黑" w:cs="Calibri" w:hint="eastAsia"/>
          <w:color w:val="000000"/>
          <w:kern w:val="0"/>
          <w:szCs w:val="21"/>
        </w:rPr>
        <w:t>策略以95%的股票型公募基金、混合型公募基金为配置中枢，发掘全市场中规模较小，业绩相对锐利、能力圈聚焦、持仓灵活、且有一定管理经验的新锐基金经理，力争获取超越基准的相对回报。</w:t>
      </w:r>
    </w:p>
    <w:p w14:paraId="6C06B21C" w14:textId="13C1B82E" w:rsidR="0011171C" w:rsidRPr="0061175E" w:rsidRDefault="0011171C" w:rsidP="0011171C">
      <w:pPr>
        <w:spacing w:line="360" w:lineRule="auto"/>
        <w:rPr>
          <w:rFonts w:ascii="微软雅黑" w:eastAsia="微软雅黑" w:hAnsi="微软雅黑" w:cs="Times New Roman"/>
          <w:b/>
          <w:bCs/>
          <w:sz w:val="24"/>
          <w:szCs w:val="28"/>
        </w:rPr>
      </w:pPr>
      <w:r>
        <w:rPr>
          <w:rFonts w:ascii="微软雅黑" w:eastAsia="微软雅黑" w:hAnsi="微软雅黑" w:cs="Times New Roman" w:hint="eastAsia"/>
          <w:b/>
          <w:bCs/>
          <w:sz w:val="24"/>
          <w:szCs w:val="28"/>
        </w:rPr>
        <w:t>三、 组合运作回顾</w:t>
      </w:r>
    </w:p>
    <w:p w14:paraId="06D50B44" w14:textId="75082D68" w:rsidR="00CB4F78" w:rsidRPr="00602C96" w:rsidRDefault="00C7112C" w:rsidP="000C237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/>
        </w:rPr>
        <w:t>二季度组合涨40.8%，同期中证偏股基金指数涨24.2%，季度超额16.6%，较大程度上修复了一季度的回撤。分月度来看，4月组合涨8.8%、跑输基准2.7%，主要是前期持有的港股互联网、计算机方向在市场普涨中弹性偏弱；进入5-6月，随着AI产业趋势从业绩端持续印证，组合明显发力，单月分别上涨9.2%、18.5%，超额6.1%、10.5%，构成季度超额的主要来源。操作上，我们于5月对卫星部分做了一次较大调整：调出表现平淡的港股通互联网与全指计算机，调入通信设备与机器人两条更贴近算力硬件与产业落地的方向，并小幅回收半导体材料设备与科技100核心的仓位以控制单一方向的暴露。调整后，组合形成以科技100为核心（约49.5%），半导体材料设备、通信设备、机器人各约16.5%的科技成长配置，较好地咬住了二季度电子、通信板块的凌厉上涨。整体看，二季度组合在成长风格占优的环境中兑现了较高弹性，年初“核心稳定、卫星更重产业趋势”的思路得到验证；但也需清醒看到，当前持仓集中度与beta偏高，向上弹性与波动是一体两面，后续将在坚持主线的同时做好动态平衡。</w:t>
      </w:r>
    </w:p>
    <w:p w14:paraId="1CAF5DE8" w14:textId="77777777" w:rsidR="007F3872" w:rsidRPr="00DF26D2" w:rsidRDefault="007F3872" w:rsidP="007F3872">
      <w:pPr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四、</w:t>
      </w:r>
      <w:r>
        <w:rPr>
          <w:rFonts w:ascii="微软雅黑" w:eastAsia="微软雅黑" w:hAnsi="微软雅黑"/>
          <w:b/>
          <w:sz w:val="24"/>
          <w:szCs w:val="24"/>
        </w:rPr>
        <w:t>市场回顾</w:t>
      </w:r>
    </w:p>
    <w:p w14:paraId="4AC9591C" w14:textId="1B815C7B" w:rsidR="00722E32" w:rsidRDefault="00602C96" w:rsidP="00353832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二季度A股走出一轮由成长与科技主导的修复行情，指数与结构均呈现极致分化。主要宽基中，科创50大涨75.7%、创业板指涨36.4%，中证500、中证1000分别涨18.6%、15.6%，沪深300、上证指数涨11.9%、5.2%，而中证红利跌12.3%、wind微盘指数跌16.2%，港股相对落后，恒生指数、恒生科技分别跌7.7%、3.8%；风格上成长全面压倒价值，与一季度周期价值占优的格局恰成镜像。申万一级行业涨幅前三为电子（90.9%）、通信（63.8%）、建筑材料（35.2%），而石油石化（-22.2%）、农林牧渔（-20.2%）、钢铁（-18.6%）领跌，行业间分化之大近年少见。具体看，一季度末压制市场的美伊冲突、油价飙升与全球滞胀交易在二季度逐步退潮，油价回落带动石油石化大幅回吐前期涨幅，A股风险偏好随外部扰动缓和而修复；4月在年报及一季报密集披露、海外风险降温的推动下，市场自低位普涨反弹；进入5-6月，海外AI资本开支持续超预期、全球半导体周期共振上行，算力、光模块、机器人等产业趋势从业绩端不断印证，成长主线加速上行，电子、通信走出主升浪，而红利、资源、消费等前期抗跌方向明显回落，微盘股亦有所降温。</w:t>
      </w:r>
    </w:p>
    <w:p w14:paraId="0E066179" w14:textId="7B0D5D83" w:rsidR="007F3872" w:rsidRDefault="007F3872" w:rsidP="007F3872">
      <w:pPr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五、投资</w:t>
      </w:r>
      <w:r>
        <w:rPr>
          <w:rFonts w:ascii="微软雅黑" w:eastAsia="微软雅黑" w:hAnsi="微软雅黑"/>
          <w:b/>
          <w:sz w:val="24"/>
          <w:szCs w:val="24"/>
        </w:rPr>
        <w:t>展望</w:t>
      </w:r>
    </w:p>
    <w:p w14:paraId="28016017" w14:textId="259C2767" w:rsidR="00602C96" w:rsidRDefault="007F3872" w:rsidP="007F387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/>
        </w:rPr>
        <w:t>展望下半年，A股有望延续结构性行情，核心驱动力将从二季度的情绪修复进一步转向盈利兑现，能否持续兑现业绩正成为板块强弱的分水岭。科技成长仍是贯穿全年的最强主线：海外AI资本开支的高景气与全球半导体周期上行，为国内算力硬件提供了坚实支撑，算力、光模块等硬件环节的产业趋势仍在深化，机器人、消费电子等应用端亦逐步进入兑现阶段。但也要看到，经过二季度的凌厉上涨，硬件核心环节的估值与交易拥挤度已明显抬升，AI主线的投资逻辑或更多向国产替代、应用落地等纵深方向演进，而非简单的普涨。风险方面，需关注海外科技股在高位的波动向A股传导，以及地缘政治、关税等外部扰动的反复。此外，在极致的成长与价值分化之后，下半年市场风格或趋于相对均衡，“反内卷”带来的价格修复、内需消费的边际改善与中国企业出海仍具备结构性配置价值。对组合而言，我们将继续以科技成长为主线，同时在高位注重控制波动、做好动态平衡，逢产业趋势确定性较强方向回调时择机布局。</w:t>
      </w:r>
    </w:p>
    <w:p w14:paraId="79EE6B65" w14:textId="66FF9BEB" w:rsidR="007E291D" w:rsidRDefault="007E291D" w:rsidP="007F387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 xml:space="preserve"> </w:t>
      </w:r>
    </w:p>
    <w:p w14:paraId="1F7FCA28" w14:textId="378DF652" w:rsidR="007F3872" w:rsidRPr="0011171C" w:rsidRDefault="007F3872" w:rsidP="007F3872">
      <w:pPr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六、投资建议</w:t>
      </w:r>
    </w:p>
    <w:p w14:paraId="047B174F" w14:textId="7DE179D6" w:rsidR="007F3872" w:rsidRDefault="007F3872" w:rsidP="007F3872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建议继续持有，并在震荡市场中做好动平衡。</w:t>
      </w:r>
    </w:p>
    <w:p w14:paraId="6A98A7C0" w14:textId="77777777" w:rsidR="00270DC5" w:rsidRPr="007F3872" w:rsidRDefault="00270DC5" w:rsidP="00AD778F">
      <w:pPr>
        <w:jc w:val="left"/>
        <w:rPr>
          <w:rFonts w:ascii="微软雅黑" w:eastAsia="微软雅黑" w:hAnsi="微软雅黑"/>
        </w:rPr>
      </w:pPr>
    </w:p>
    <w:p w14:paraId="30DD594C" w14:textId="77777777" w:rsidR="0061175E" w:rsidRPr="004C0EE1" w:rsidRDefault="0061175E" w:rsidP="0061175E">
      <w:pPr>
        <w:rPr>
          <w:rFonts w:ascii="楷体" w:eastAsia="楷体" w:hAnsi="楷体" w:cs="楷体"/>
          <w:sz w:val="18"/>
          <w:szCs w:val="21"/>
        </w:rPr>
      </w:pPr>
      <w:r>
        <w:rPr>
          <w:rFonts w:ascii="楷体" w:eastAsia="楷体" w:hAnsi="楷体" w:cs="楷体" w:hint="eastAsia"/>
          <w:sz w:val="18"/>
          <w:szCs w:val="21"/>
        </w:rPr>
        <w:lastRenderedPageBreak/>
        <w:t>免责声明：</w:t>
      </w:r>
    </w:p>
    <w:p w14:paraId="36B77C0C" w14:textId="77777777" w:rsidR="0061175E" w:rsidRPr="004C0EE1" w:rsidRDefault="0061175E" w:rsidP="0061175E">
      <w:pPr>
        <w:rPr>
          <w:rFonts w:cs="Times New Roman"/>
          <w:color w:val="000000"/>
          <w:kern w:val="0"/>
          <w:sz w:val="18"/>
          <w:szCs w:val="21"/>
        </w:rPr>
      </w:pPr>
      <w:r>
        <w:rPr>
          <w:rFonts w:ascii="楷体" w:eastAsia="楷体" w:hAnsi="楷体" w:cs="Times New Roman" w:hint="eastAsia"/>
          <w:color w:val="000000"/>
          <w:sz w:val="18"/>
          <w:szCs w:val="21"/>
        </w:rPr>
        <w:t>载于本资料内的信息、数据由嘉实财富管理有限公司于完全保密的基础下提供给阁下，仅供内部交流使用。未经本公司事先书面许可，任何人不得将本资料或其任何部分以任何形式进行派发、复制、转载或发布，且不得对本资料进行任何有悖原意的删节或修改。</w:t>
      </w:r>
      <w:r>
        <w:rPr>
          <w:rFonts w:ascii="楷体" w:eastAsia="楷体" w:hAnsi="楷体" w:cs="Times New Roman"/>
          <w:color w:val="000000"/>
          <w:sz w:val="18"/>
          <w:szCs w:val="21"/>
        </w:rPr>
        <w:t xml:space="preserve"> </w:t>
      </w:r>
    </w:p>
    <w:p w14:paraId="381E9E1E" w14:textId="77777777" w:rsidR="0061175E" w:rsidRPr="004C0EE1" w:rsidRDefault="0061175E" w:rsidP="0061175E">
      <w:pPr>
        <w:rPr>
          <w:rFonts w:cs="Times New Roman"/>
          <w:color w:val="000000"/>
          <w:sz w:val="18"/>
          <w:szCs w:val="21"/>
        </w:rPr>
      </w:pPr>
      <w:r>
        <w:rPr>
          <w:rFonts w:ascii="楷体" w:eastAsia="楷体" w:hAnsi="楷体" w:cs="Times New Roman" w:hint="eastAsia"/>
          <w:color w:val="000000"/>
          <w:sz w:val="18"/>
          <w:szCs w:val="21"/>
        </w:rPr>
        <w:t>本资料内的信息以及意见均取自我司认为可信赖的来源，但我司并不就其准确性或完整性作出明确或隐含的声明或保证，而阁下亦不应就此作出依赖。在任何情况下，本资料中的信息或所表述的意见并不构成对任何人的投资建议，也没有考虑到个别客户特殊的投资目标、财务状况或需求，不应被作为投资决策的依据。本资料亦不属于购买任何产品</w:t>
      </w:r>
      <w:r>
        <w:rPr>
          <w:rFonts w:ascii="楷体" w:eastAsia="楷体" w:hAnsi="楷体" w:cs="Times New Roman"/>
          <w:color w:val="000000"/>
          <w:sz w:val="18"/>
          <w:szCs w:val="21"/>
        </w:rPr>
        <w:t>/</w:t>
      </w:r>
      <w:r>
        <w:rPr>
          <w:rFonts w:ascii="楷体" w:eastAsia="楷体" w:hAnsi="楷体" w:cs="Times New Roman" w:hint="eastAsia"/>
          <w:color w:val="000000"/>
          <w:sz w:val="18"/>
          <w:szCs w:val="21"/>
        </w:rPr>
        <w:t>产品组合或其他投资之要约或要约邀请。</w:t>
      </w:r>
    </w:p>
    <w:p w14:paraId="09A4C2DD" w14:textId="77777777" w:rsidR="0061175E" w:rsidRPr="000D16B6" w:rsidRDefault="0061175E" w:rsidP="0061175E">
      <w:pPr>
        <w:jc w:val="left"/>
      </w:pPr>
      <w:r>
        <w:rPr>
          <w:rFonts w:ascii="楷体" w:eastAsia="楷体" w:hAnsi="楷体" w:cs="Tahoma" w:hint="eastAsia"/>
          <w:color w:val="000000"/>
          <w:sz w:val="18"/>
          <w:szCs w:val="21"/>
        </w:rPr>
        <w:t>投资有风险。投资者应于投资前认真阅读相关产品</w:t>
      </w:r>
      <w:r>
        <w:rPr>
          <w:rFonts w:ascii="楷体" w:eastAsia="楷体" w:hAnsi="楷体" w:cs="Tahoma"/>
          <w:color w:val="000000"/>
          <w:sz w:val="18"/>
          <w:szCs w:val="21"/>
        </w:rPr>
        <w:t>/</w:t>
      </w:r>
      <w:r>
        <w:rPr>
          <w:rFonts w:ascii="楷体" w:eastAsia="楷体" w:hAnsi="楷体" w:cs="Tahoma" w:hint="eastAsia"/>
          <w:color w:val="000000"/>
          <w:sz w:val="18"/>
          <w:szCs w:val="21"/>
        </w:rPr>
        <w:t>产品组合法律文件，产品</w:t>
      </w:r>
      <w:r>
        <w:rPr>
          <w:rFonts w:ascii="楷体" w:eastAsia="楷体" w:hAnsi="楷体" w:cs="Tahoma"/>
          <w:color w:val="000000"/>
          <w:sz w:val="18"/>
          <w:szCs w:val="21"/>
        </w:rPr>
        <w:t>/</w:t>
      </w:r>
      <w:r>
        <w:rPr>
          <w:rFonts w:ascii="楷体" w:eastAsia="楷体" w:hAnsi="楷体" w:cs="Tahoma" w:hint="eastAsia"/>
          <w:color w:val="000000"/>
          <w:sz w:val="18"/>
          <w:szCs w:val="21"/>
        </w:rPr>
        <w:t>产品组合过往业绩并不代表其未来表现。我司不保证产品</w:t>
      </w:r>
      <w:r>
        <w:rPr>
          <w:rFonts w:ascii="楷体" w:eastAsia="楷体" w:hAnsi="楷体" w:cs="Tahoma"/>
          <w:color w:val="000000"/>
          <w:sz w:val="18"/>
          <w:szCs w:val="21"/>
        </w:rPr>
        <w:t>/</w:t>
      </w:r>
      <w:r>
        <w:rPr>
          <w:rFonts w:ascii="楷体" w:eastAsia="楷体" w:hAnsi="楷体" w:cs="Tahoma" w:hint="eastAsia"/>
          <w:color w:val="000000"/>
          <w:sz w:val="18"/>
          <w:szCs w:val="21"/>
        </w:rPr>
        <w:t>产品组合一定盈利，也不保证最低收益或本金不受损失。投资者应充分考虑其风险承受能力、风险识别能力，谨慎投资。</w:t>
      </w:r>
    </w:p>
    <w:p w14:paraId="10D44339" w14:textId="77777777" w:rsidR="0061175E" w:rsidRPr="0061175E" w:rsidRDefault="0061175E"/>
    <w:sectPr w:rsidR="0061175E" w:rsidRPr="0061175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558D90" w14:textId="77777777" w:rsidR="005C4081" w:rsidRDefault="005C4081" w:rsidP="0061175E">
      <w:r>
        <w:separator/>
      </w:r>
    </w:p>
  </w:endnote>
  <w:endnote w:type="continuationSeparator" w:id="0">
    <w:p w14:paraId="2A0B01E7" w14:textId="77777777" w:rsidR="005C4081" w:rsidRDefault="005C4081" w:rsidP="0061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E2809F" w14:textId="77777777" w:rsidR="005C4081" w:rsidRDefault="005C4081" w:rsidP="0061175E">
      <w:r>
        <w:separator/>
      </w:r>
    </w:p>
  </w:footnote>
  <w:footnote w:type="continuationSeparator" w:id="0">
    <w:p w14:paraId="337B6A21" w14:textId="77777777" w:rsidR="005C4081" w:rsidRDefault="005C4081" w:rsidP="006117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B1A32D" w14:textId="77777777" w:rsidR="0061175E" w:rsidRDefault="0061175E" w:rsidP="0061175E">
    <w:pPr>
      <w:pStyle w:val="a3"/>
      <w:jc w:val="right"/>
    </w:pPr>
    <w:r>
      <w:rPr>
        <w:rFonts w:hint="eastAsia"/>
        <w:noProof/>
      </w:rPr>
      <w:drawing>
        <wp:inline distT="0" distB="0" distL="0" distR="0" wp14:anchorId="246D3592" wp14:editId="0CACF3F0">
          <wp:extent cx="1581150" cy="229196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1694" cy="253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445BD"/>
    <w:multiLevelType w:val="hybridMultilevel"/>
    <w:tmpl w:val="9C0E56AE"/>
    <w:lvl w:ilvl="0" w:tplc="50F2D06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6B7B10"/>
    <w:multiLevelType w:val="hybridMultilevel"/>
    <w:tmpl w:val="B2CA69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02"/>
    <w:rsid w:val="000179BD"/>
    <w:rsid w:val="00061DF7"/>
    <w:rsid w:val="000709A9"/>
    <w:rsid w:val="000C2376"/>
    <w:rsid w:val="000D724E"/>
    <w:rsid w:val="000F2BA8"/>
    <w:rsid w:val="0011171C"/>
    <w:rsid w:val="00144636"/>
    <w:rsid w:val="00144F4C"/>
    <w:rsid w:val="001617F8"/>
    <w:rsid w:val="00162BA4"/>
    <w:rsid w:val="001F1F67"/>
    <w:rsid w:val="00207A89"/>
    <w:rsid w:val="00236A65"/>
    <w:rsid w:val="00267C1C"/>
    <w:rsid w:val="00270DC5"/>
    <w:rsid w:val="002B07E0"/>
    <w:rsid w:val="002D7334"/>
    <w:rsid w:val="00353832"/>
    <w:rsid w:val="003719E2"/>
    <w:rsid w:val="00382D64"/>
    <w:rsid w:val="003C3328"/>
    <w:rsid w:val="003C6F09"/>
    <w:rsid w:val="003D4349"/>
    <w:rsid w:val="003F55D5"/>
    <w:rsid w:val="00433E25"/>
    <w:rsid w:val="004353BC"/>
    <w:rsid w:val="004C389C"/>
    <w:rsid w:val="004F1942"/>
    <w:rsid w:val="00514582"/>
    <w:rsid w:val="0053115C"/>
    <w:rsid w:val="005466C0"/>
    <w:rsid w:val="00547034"/>
    <w:rsid w:val="00550566"/>
    <w:rsid w:val="005668C6"/>
    <w:rsid w:val="00593076"/>
    <w:rsid w:val="005A661B"/>
    <w:rsid w:val="005C4081"/>
    <w:rsid w:val="005E6061"/>
    <w:rsid w:val="00602C96"/>
    <w:rsid w:val="0061175E"/>
    <w:rsid w:val="0061536E"/>
    <w:rsid w:val="00641202"/>
    <w:rsid w:val="00687384"/>
    <w:rsid w:val="00696B8C"/>
    <w:rsid w:val="006B74A7"/>
    <w:rsid w:val="006D3030"/>
    <w:rsid w:val="006E76CF"/>
    <w:rsid w:val="006F175B"/>
    <w:rsid w:val="006F2A83"/>
    <w:rsid w:val="00711DF4"/>
    <w:rsid w:val="00722E32"/>
    <w:rsid w:val="00742469"/>
    <w:rsid w:val="007B31F2"/>
    <w:rsid w:val="007B40EE"/>
    <w:rsid w:val="007D2959"/>
    <w:rsid w:val="007E291D"/>
    <w:rsid w:val="007E540B"/>
    <w:rsid w:val="007E7B8A"/>
    <w:rsid w:val="007F3872"/>
    <w:rsid w:val="00800949"/>
    <w:rsid w:val="0080712A"/>
    <w:rsid w:val="00824367"/>
    <w:rsid w:val="00852784"/>
    <w:rsid w:val="00866F02"/>
    <w:rsid w:val="008816B2"/>
    <w:rsid w:val="00881845"/>
    <w:rsid w:val="008F61F9"/>
    <w:rsid w:val="00907F14"/>
    <w:rsid w:val="00910884"/>
    <w:rsid w:val="00914719"/>
    <w:rsid w:val="009647C4"/>
    <w:rsid w:val="00973B3C"/>
    <w:rsid w:val="00991073"/>
    <w:rsid w:val="009A49AA"/>
    <w:rsid w:val="009D7856"/>
    <w:rsid w:val="009E0F3C"/>
    <w:rsid w:val="009F7184"/>
    <w:rsid w:val="00A03328"/>
    <w:rsid w:val="00A6550D"/>
    <w:rsid w:val="00A73EEC"/>
    <w:rsid w:val="00AC0192"/>
    <w:rsid w:val="00AD013A"/>
    <w:rsid w:val="00AD33D9"/>
    <w:rsid w:val="00AD778F"/>
    <w:rsid w:val="00B26BEC"/>
    <w:rsid w:val="00B562B0"/>
    <w:rsid w:val="00B62255"/>
    <w:rsid w:val="00B75FCF"/>
    <w:rsid w:val="00B80768"/>
    <w:rsid w:val="00BA71A3"/>
    <w:rsid w:val="00BB4B74"/>
    <w:rsid w:val="00C02219"/>
    <w:rsid w:val="00C154C0"/>
    <w:rsid w:val="00C15700"/>
    <w:rsid w:val="00C53744"/>
    <w:rsid w:val="00C55BB6"/>
    <w:rsid w:val="00C7112C"/>
    <w:rsid w:val="00CA1D37"/>
    <w:rsid w:val="00CB4F78"/>
    <w:rsid w:val="00CC2F7C"/>
    <w:rsid w:val="00D62851"/>
    <w:rsid w:val="00D8493E"/>
    <w:rsid w:val="00D8530A"/>
    <w:rsid w:val="00DA066A"/>
    <w:rsid w:val="00DA0B1F"/>
    <w:rsid w:val="00DE294D"/>
    <w:rsid w:val="00E02E7E"/>
    <w:rsid w:val="00E17D89"/>
    <w:rsid w:val="00E27279"/>
    <w:rsid w:val="00E512EA"/>
    <w:rsid w:val="00E52688"/>
    <w:rsid w:val="00ED4A40"/>
    <w:rsid w:val="00EE2966"/>
    <w:rsid w:val="00F5637D"/>
    <w:rsid w:val="00F94C2E"/>
    <w:rsid w:val="00FA01F5"/>
    <w:rsid w:val="00FD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529520"/>
  <w15:chartTrackingRefBased/>
  <w15:docId w15:val="{577601B3-7BA9-4E76-9352-60144180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175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17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17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17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175E"/>
    <w:rPr>
      <w:sz w:val="18"/>
      <w:szCs w:val="18"/>
    </w:rPr>
  </w:style>
  <w:style w:type="paragraph" w:styleId="a5">
    <w:name w:val="List Paragraph"/>
    <w:basedOn w:val="a"/>
    <w:uiPriority w:val="34"/>
    <w:qFormat/>
    <w:rsid w:val="0011171C"/>
    <w:pPr>
      <w:ind w:firstLineChars="200" w:firstLine="420"/>
    </w:pPr>
  </w:style>
  <w:style w:type="paragraph" w:customStyle="1" w:styleId="Default">
    <w:name w:val="Default"/>
    <w:rsid w:val="0011171C"/>
    <w:pPr>
      <w:widowControl w:val="0"/>
      <w:autoSpaceDE w:val="0"/>
      <w:autoSpaceDN w:val="0"/>
      <w:adjustRightInd w:val="0"/>
    </w:pPr>
    <w:rPr>
      <w:rFonts w:ascii="Calibri" w:eastAsia="宋体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关晓峡</dc:creator>
  <cp:keywords/>
  <dc:description/>
  <cp:lastModifiedBy>白昕</cp:lastModifiedBy>
  <cp:revision>2</cp:revision>
  <dcterms:created xsi:type="dcterms:W3CDTF">2026-04-15T07:05:00Z</dcterms:created>
  <dcterms:modified xsi:type="dcterms:W3CDTF">2026-04-15T07:05:00Z</dcterms:modified>
</cp:coreProperties>
</file>