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96943" w14:textId="18291895" w:rsidR="00036718" w:rsidRPr="00036718" w:rsidRDefault="00933DCB" w:rsidP="002814A3">
      <w:pPr>
        <w:keepNext/>
        <w:keepLines/>
        <w:adjustRightInd w:val="0"/>
        <w:snapToGrid w:val="0"/>
        <w:spacing w:beforeLines="100" w:before="312" w:afterLines="50" w:after="156"/>
        <w:jc w:val="left"/>
        <w:outlineLvl w:val="0"/>
        <w:rPr>
          <w:rFonts w:hint="eastAsia"/>
        </w:rPr>
      </w:pPr>
      <w:r>
        <w:rPr>
          <w:rFonts w:ascii="微软雅黑" w:hAnsi="微软雅黑" w:cs="Times New Roman" w:hint="eastAsia"/>
          <w:b/>
          <w:bCs/>
          <w:noProof/>
          <w:color w:val="2F5496" w:themeColor="accent1" w:themeShade="BF"/>
          <w:kern w:val="44"/>
          <w:sz w:val="24"/>
          <w:szCs w:val="24"/>
        </w:rPr>
        <w:t>中国股票</w:t>
      </w:r>
      <w:r w:rsidR="00D24F3F">
        <w:rPr>
          <w:rFonts w:ascii="微软雅黑" w:hAnsi="微软雅黑" w:cs="Times New Roman" w:hint="eastAsia"/>
          <w:b/>
          <w:bCs/>
          <w:noProof/>
          <w:color w:val="2F5496" w:themeColor="accent1" w:themeShade="BF"/>
          <w:kern w:val="44"/>
          <w:sz w:val="24"/>
          <w:szCs w:val="24"/>
        </w:rPr>
        <w:t>：</w:t>
      </w:r>
      <w:r w:rsidR="003938EA">
        <w:rPr>
          <w:rFonts w:hint="eastAsia"/>
        </w:rPr>
        <w:t>二季度A股有望震荡向上，</w:t>
      </w:r>
      <w:r w:rsidR="003938EA" w:rsidRPr="00CA0229">
        <w:t>核心驱动力将从一季度的“流动性与情绪驱动”</w:t>
      </w:r>
      <w:r w:rsidR="003938EA">
        <w:rPr>
          <w:rFonts w:hint="eastAsia"/>
        </w:rPr>
        <w:t>的春季行情</w:t>
      </w:r>
      <w:r w:rsidR="003938EA" w:rsidRPr="00CA0229">
        <w:t>转向</w:t>
      </w:r>
      <w:r w:rsidR="003938EA">
        <w:rPr>
          <w:rFonts w:hint="eastAsia"/>
        </w:rPr>
        <w:t>“</w:t>
      </w:r>
      <w:r w:rsidR="003938EA" w:rsidRPr="00CA0229">
        <w:t>盈利验证与政策预期”</w:t>
      </w:r>
      <w:r w:rsidR="003938EA">
        <w:rPr>
          <w:rFonts w:hint="eastAsia"/>
        </w:rPr>
        <w:t>，</w:t>
      </w:r>
      <w:r w:rsidR="003938EA" w:rsidRPr="00D16D2A">
        <w:t>短期受制于伊朗问题的发酵与全球通胀预期的反复</w:t>
      </w:r>
      <w:r w:rsidR="003938EA">
        <w:rPr>
          <w:rFonts w:hint="eastAsia"/>
        </w:rPr>
        <w:t>，</w:t>
      </w:r>
      <w:r w:rsidR="003938EA" w:rsidRPr="00D16D2A">
        <w:t>市场</w:t>
      </w:r>
      <w:r w:rsidR="003938EA">
        <w:rPr>
          <w:rFonts w:hint="eastAsia"/>
        </w:rPr>
        <w:t>可能</w:t>
      </w:r>
      <w:r w:rsidR="003938EA" w:rsidRPr="00D16D2A">
        <w:t>仍需震荡磨底</w:t>
      </w:r>
      <w:r w:rsidR="003938EA">
        <w:rPr>
          <w:rFonts w:hint="eastAsia"/>
        </w:rPr>
        <w:t>，较难</w:t>
      </w:r>
      <w:r w:rsidR="003938EA" w:rsidRPr="00D16D2A">
        <w:t>迅速复</w:t>
      </w:r>
      <w:proofErr w:type="gramStart"/>
      <w:r w:rsidR="003938EA" w:rsidRPr="00D16D2A">
        <w:t>刻去年</w:t>
      </w:r>
      <w:proofErr w:type="gramEnd"/>
      <w:r w:rsidR="003938EA" w:rsidRPr="00D16D2A">
        <w:t>对等关税时期“V形反转”的凌厉走势。但随着外部环境的边际缓和与内需政策的持续发力</w:t>
      </w:r>
      <w:r w:rsidR="000278C2">
        <w:rPr>
          <w:rFonts w:hint="eastAsia"/>
        </w:rPr>
        <w:t>，</w:t>
      </w:r>
      <w:r w:rsidR="003938EA" w:rsidRPr="00D16D2A">
        <w:t>估值</w:t>
      </w:r>
      <w:r w:rsidR="003938EA">
        <w:rPr>
          <w:rFonts w:hint="eastAsia"/>
        </w:rPr>
        <w:t>的</w:t>
      </w:r>
      <w:r w:rsidR="003938EA" w:rsidRPr="00D16D2A">
        <w:t>消化，</w:t>
      </w:r>
      <w:r w:rsidR="003938EA">
        <w:rPr>
          <w:rFonts w:hint="eastAsia"/>
        </w:rPr>
        <w:t>A股</w:t>
      </w:r>
      <w:r w:rsidR="003938EA" w:rsidRPr="00D16D2A">
        <w:t>有望在二季度中后期迎来向上拐点</w:t>
      </w:r>
      <w:r w:rsidR="00825C7B">
        <w:rPr>
          <w:rFonts w:hint="eastAsia"/>
        </w:rPr>
        <w:t>。</w:t>
      </w:r>
      <w:r w:rsidR="00A8609E" w:rsidRPr="00A8609E">
        <w:rPr>
          <w:rFonts w:hint="eastAsia"/>
        </w:rPr>
        <w:t>判断成长风格强于价值风格</w:t>
      </w:r>
      <w:r w:rsidR="00926711">
        <w:rPr>
          <w:rFonts w:hint="eastAsia"/>
        </w:rPr>
        <w:t>，</w:t>
      </w:r>
      <w:r w:rsidR="00A8609E" w:rsidRPr="00A8609E">
        <w:rPr>
          <w:rFonts w:hint="eastAsia"/>
        </w:rPr>
        <w:t>建议抱紧产业趋势</w:t>
      </w:r>
      <w:r w:rsidR="00926711">
        <w:rPr>
          <w:rFonts w:hint="eastAsia"/>
        </w:rPr>
        <w:t>。</w:t>
      </w:r>
    </w:p>
    <w:p w14:paraId="1A5F2FBF" w14:textId="53B18047" w:rsidR="00FB0200" w:rsidRPr="000F16AE" w:rsidRDefault="000F16AE" w:rsidP="00FB0200">
      <w:pPr>
        <w:ind w:firstLine="420"/>
        <w:rPr>
          <w:rFonts w:hint="eastAsia"/>
        </w:rPr>
      </w:pPr>
      <w:r w:rsidRPr="000F16AE">
        <w:rPr>
          <w:rFonts w:hint="eastAsia"/>
        </w:rPr>
        <w:t>一季度</w:t>
      </w:r>
      <w:r>
        <w:rPr>
          <w:rFonts w:hint="eastAsia"/>
        </w:rPr>
        <w:t>，</w:t>
      </w:r>
      <w:r w:rsidRPr="000F16AE">
        <w:rPr>
          <w:rFonts w:hint="eastAsia"/>
        </w:rPr>
        <w:t>A股呈现“冲高-横盘-回落”三段式</w:t>
      </w:r>
      <w:r>
        <w:rPr>
          <w:rFonts w:hint="eastAsia"/>
        </w:rPr>
        <w:t>走势</w:t>
      </w:r>
      <w:r w:rsidR="00497DAD">
        <w:rPr>
          <w:rFonts w:hint="eastAsia"/>
        </w:rPr>
        <w:t>，</w:t>
      </w:r>
      <w:r w:rsidRPr="000F16AE">
        <w:rPr>
          <w:rFonts w:hint="eastAsia"/>
        </w:rPr>
        <w:t>经历了从极度亢奋到避险降温的剧烈波动。具体看</w:t>
      </w:r>
      <w:r w:rsidR="00497DAD">
        <w:rPr>
          <w:rFonts w:hint="eastAsia"/>
        </w:rPr>
        <w:t>，</w:t>
      </w:r>
      <w:r w:rsidRPr="000F16AE">
        <w:rPr>
          <w:rFonts w:hint="eastAsia"/>
        </w:rPr>
        <w:t>1月上旬受全球降息预期与复苏交易共振影响，场外资金借春季躁动预期大幅入场</w:t>
      </w:r>
      <w:r w:rsidR="00D5057F">
        <w:rPr>
          <w:rFonts w:hint="eastAsia"/>
        </w:rPr>
        <w:t>，</w:t>
      </w:r>
      <w:r w:rsidRPr="000F16AE">
        <w:rPr>
          <w:rFonts w:hint="eastAsia"/>
        </w:rPr>
        <w:t>沪指一度冲击4200点</w:t>
      </w:r>
      <w:r w:rsidR="00A64F04">
        <w:rPr>
          <w:rFonts w:hint="eastAsia"/>
        </w:rPr>
        <w:t>，</w:t>
      </w:r>
      <w:r w:rsidRPr="000F16AE">
        <w:rPr>
          <w:rFonts w:hint="eastAsia"/>
        </w:rPr>
        <w:t>全A创下3.99万亿天量的成交</w:t>
      </w:r>
      <w:r w:rsidR="00F13D36">
        <w:rPr>
          <w:rFonts w:hint="eastAsia"/>
        </w:rPr>
        <w:t>，</w:t>
      </w:r>
      <w:r w:rsidRPr="000F16AE">
        <w:rPr>
          <w:rFonts w:hint="eastAsia"/>
        </w:rPr>
        <w:t>商业航天、AI应用等题材领涨；1月中旬到2月底，面对过热情绪，监管政策有所收紧，叠加约万亿ETF净赎回，市场进入横盘消化期，主线切换至AI通胀与周期涨价</w:t>
      </w:r>
      <w:r w:rsidR="00F13D36">
        <w:rPr>
          <w:rFonts w:hint="eastAsia"/>
        </w:rPr>
        <w:t>的</w:t>
      </w:r>
      <w:r w:rsidRPr="000F16AE">
        <w:rPr>
          <w:rFonts w:hint="eastAsia"/>
        </w:rPr>
        <w:t>品种；3月份，美伊冲突升级导致霍尔木兹</w:t>
      </w:r>
      <w:proofErr w:type="gramStart"/>
      <w:r w:rsidRPr="000F16AE">
        <w:rPr>
          <w:rFonts w:hint="eastAsia"/>
        </w:rPr>
        <w:t>海峡断运担忧</w:t>
      </w:r>
      <w:proofErr w:type="gramEnd"/>
      <w:r w:rsidRPr="000F16AE">
        <w:rPr>
          <w:rFonts w:hint="eastAsia"/>
        </w:rPr>
        <w:t>，原油价格飙升引发全球滞胀与衰退交易，A股风险偏好受挫，指数剧烈调整。</w:t>
      </w:r>
    </w:p>
    <w:p w14:paraId="29EDBAE6" w14:textId="024EA457" w:rsidR="00A42563" w:rsidRDefault="005E6A2A" w:rsidP="00D055E1">
      <w:pPr>
        <w:ind w:firstLine="420"/>
      </w:pPr>
      <w:r>
        <w:rPr>
          <w:rFonts w:hint="eastAsia"/>
        </w:rPr>
        <w:t>具体数据上，一季度</w:t>
      </w:r>
      <w:r w:rsidR="00D055E1" w:rsidRPr="002A14A6">
        <w:rPr>
          <w:rFonts w:hint="eastAsia"/>
        </w:rPr>
        <w:t>上证综指跌1.9%、沪深300跌3.9%、创业板指跌0.6%、</w:t>
      </w:r>
      <w:proofErr w:type="gramStart"/>
      <w:r w:rsidR="00D055E1" w:rsidRPr="002A14A6">
        <w:rPr>
          <w:rFonts w:hint="eastAsia"/>
        </w:rPr>
        <w:t>科创</w:t>
      </w:r>
      <w:proofErr w:type="gramEnd"/>
      <w:r w:rsidR="00D055E1" w:rsidRPr="002A14A6">
        <w:rPr>
          <w:rFonts w:hint="eastAsia"/>
        </w:rPr>
        <w:t>50大跌6.5%；大小盘分化，上证50跌6.8%、中证2000</w:t>
      </w:r>
      <w:r w:rsidR="005E59EB">
        <w:rPr>
          <w:rFonts w:hint="eastAsia"/>
        </w:rPr>
        <w:t>逆势涨</w:t>
      </w:r>
      <w:r w:rsidR="00D055E1" w:rsidRPr="002A14A6">
        <w:rPr>
          <w:rFonts w:hint="eastAsia"/>
        </w:rPr>
        <w:t>1.2%；风格上，金融大跌、消费也下跌较多，稳定和周期上涨；申万</w:t>
      </w:r>
      <w:proofErr w:type="gramStart"/>
      <w:r w:rsidR="00D055E1" w:rsidRPr="002A14A6">
        <w:rPr>
          <w:rFonts w:hint="eastAsia"/>
        </w:rPr>
        <w:t>一级行业</w:t>
      </w:r>
      <w:proofErr w:type="gramEnd"/>
      <w:r w:rsidR="00D055E1" w:rsidRPr="002A14A6">
        <w:rPr>
          <w:rFonts w:hint="eastAsia"/>
        </w:rPr>
        <w:t>涨跌互现，煤炭、石油石化、公用事业</w:t>
      </w:r>
      <w:r w:rsidR="00D055E1">
        <w:rPr>
          <w:rFonts w:hint="eastAsia"/>
        </w:rPr>
        <w:t>等资源品</w:t>
      </w:r>
      <w:r w:rsidR="00D055E1" w:rsidRPr="002A14A6">
        <w:rPr>
          <w:rFonts w:hint="eastAsia"/>
        </w:rPr>
        <w:t>涨幅居前，而非银金融、商贸零售、美容护理跌幅居前。中</w:t>
      </w:r>
      <w:proofErr w:type="gramStart"/>
      <w:r w:rsidR="00D055E1" w:rsidRPr="002A14A6">
        <w:rPr>
          <w:rFonts w:hint="eastAsia"/>
        </w:rPr>
        <w:t>证偏股</w:t>
      </w:r>
      <w:proofErr w:type="gramEnd"/>
      <w:r w:rsidR="00D055E1" w:rsidRPr="002A14A6">
        <w:rPr>
          <w:rFonts w:hint="eastAsia"/>
        </w:rPr>
        <w:t>基金</w:t>
      </w:r>
      <w:r w:rsidR="00222143">
        <w:rPr>
          <w:rFonts w:hint="eastAsia"/>
        </w:rPr>
        <w:t>指数</w:t>
      </w:r>
      <w:r w:rsidR="00D055E1" w:rsidRPr="002A14A6">
        <w:rPr>
          <w:rFonts w:hint="eastAsia"/>
        </w:rPr>
        <w:t>跌1.6%、中证800指数跌2.3%</w:t>
      </w:r>
      <w:r w:rsidR="00D055E1">
        <w:rPr>
          <w:rFonts w:hint="eastAsia"/>
        </w:rPr>
        <w:t>，</w:t>
      </w:r>
      <w:proofErr w:type="gramStart"/>
      <w:r w:rsidR="00D055E1" w:rsidRPr="002A14A6">
        <w:rPr>
          <w:rFonts w:hint="eastAsia"/>
        </w:rPr>
        <w:t>偏股基金</w:t>
      </w:r>
      <w:proofErr w:type="gramEnd"/>
      <w:r w:rsidR="00D055E1" w:rsidRPr="002A14A6">
        <w:rPr>
          <w:rFonts w:hint="eastAsia"/>
        </w:rPr>
        <w:t>相对抗跌</w:t>
      </w:r>
      <w:r w:rsidR="00D055E1">
        <w:rPr>
          <w:rFonts w:hint="eastAsia"/>
        </w:rPr>
        <w:t>。</w:t>
      </w:r>
    </w:p>
    <w:p w14:paraId="5AF42B10" w14:textId="77777777" w:rsidR="00D055E1" w:rsidRPr="008374E2" w:rsidRDefault="00D055E1" w:rsidP="00D055E1">
      <w:pPr>
        <w:ind w:firstLine="420"/>
        <w:rPr>
          <w:rFonts w:hint="eastAsia"/>
        </w:rPr>
      </w:pPr>
    </w:p>
    <w:tbl>
      <w:tblPr>
        <w:tblW w:w="8544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8544"/>
      </w:tblGrid>
      <w:tr w:rsidR="00CA68CE" w:rsidRPr="00CC2893" w14:paraId="631919A1" w14:textId="77777777" w:rsidTr="005F38D2">
        <w:trPr>
          <w:trHeight w:hRule="exact" w:val="326"/>
        </w:trPr>
        <w:tc>
          <w:tcPr>
            <w:tcW w:w="8544" w:type="dxa"/>
          </w:tcPr>
          <w:p w14:paraId="4D5F7BB1" w14:textId="77777777" w:rsidR="00CA68CE" w:rsidRPr="00CC2893" w:rsidRDefault="00CA68CE" w:rsidP="00F03ED7">
            <w:pPr>
              <w:spacing w:line="360" w:lineRule="exact"/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</w:pPr>
            <w:r w:rsidRPr="00CC2893">
              <w:rPr>
                <w:rFonts w:ascii="微软雅黑" w:hAnsi="微软雅黑" w:cs="Times New Roman"/>
                <w:noProof/>
                <w:color w:val="005096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7E555C3" wp14:editId="1417EBD0">
                      <wp:simplePos x="0" y="0"/>
                      <wp:positionH relativeFrom="column">
                        <wp:posOffset>417830</wp:posOffset>
                      </wp:positionH>
                      <wp:positionV relativeFrom="paragraph">
                        <wp:posOffset>147955</wp:posOffset>
                      </wp:positionV>
                      <wp:extent cx="5524500" cy="0"/>
                      <wp:effectExtent l="0" t="19050" r="19050" b="38100"/>
                      <wp:wrapNone/>
                      <wp:docPr id="7" name="直接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245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FC364A" id="直接连接符 7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pt,11.65pt" to="467.9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" strokecolor="#4a7ebb" strokeweight="4.5pt"/>
                  </w:pict>
                </mc:Fallback>
              </mc:AlternateContent>
            </w:r>
            <w:r w:rsidRPr="00CC2893">
              <w:rPr>
                <w:rFonts w:ascii="微软雅黑" w:hAnsi="微软雅黑" w:cs="Times New Roman"/>
                <w:b/>
                <w:color w:val="005096"/>
                <w:szCs w:val="21"/>
                <w:lang w:val="x-none" w:eastAsia="x-none"/>
              </w:rPr>
              <w:br w:type="page"/>
            </w:r>
            <w:r w:rsidRPr="00CC2893">
              <w:rPr>
                <w:rFonts w:ascii="微软雅黑" w:hAnsi="微软雅黑" w:cs="Times New Roman"/>
                <w:color w:val="005096"/>
                <w:szCs w:val="21"/>
                <w:lang w:val="x-none" w:eastAsia="x-none"/>
              </w:rPr>
              <w:br w:type="page"/>
            </w:r>
            <w:r w:rsidRPr="00CC2893">
              <w:rPr>
                <w:rFonts w:ascii="微软雅黑" w:hAnsi="微软雅黑" w:cs="Times New Roman"/>
                <w:b/>
                <w:color w:val="005096"/>
                <w:szCs w:val="21"/>
                <w:lang w:val="x-none"/>
              </w:rPr>
              <w:t>图</w:t>
            </w:r>
            <w:r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1</w:t>
            </w:r>
          </w:p>
        </w:tc>
      </w:tr>
      <w:tr w:rsidR="00CA68CE" w:rsidRPr="00CC2893" w14:paraId="51E683B1" w14:textId="77777777" w:rsidTr="005F38D2">
        <w:trPr>
          <w:trHeight w:hRule="exact" w:val="348"/>
        </w:trPr>
        <w:tc>
          <w:tcPr>
            <w:tcW w:w="8544" w:type="dxa"/>
          </w:tcPr>
          <w:p w14:paraId="68148358" w14:textId="6A5F5F93" w:rsidR="00CA68CE" w:rsidRDefault="006F23AF" w:rsidP="00F03ED7">
            <w:pPr>
              <w:spacing w:line="360" w:lineRule="exact"/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</w:pPr>
            <w:proofErr w:type="spellStart"/>
            <w:r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A</w:t>
            </w:r>
            <w:proofErr w:type="gramStart"/>
            <w:r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股</w:t>
            </w:r>
            <w:r w:rsidR="00A91D07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宽基指数</w:t>
            </w:r>
            <w:proofErr w:type="spellEnd"/>
            <w:proofErr w:type="gramEnd"/>
            <w:r w:rsidR="00AC0876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Q</w:t>
            </w:r>
            <w:r w:rsidR="00B50AE1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1</w:t>
            </w:r>
            <w:r w:rsidR="00B50AE1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演绎过山车行情</w:t>
            </w:r>
            <w:r w:rsidR="00AC0876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，</w:t>
            </w:r>
            <w:r w:rsidR="00B50AE1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年初冲高、</w:t>
            </w:r>
            <w:r w:rsidR="00B50AE1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3</w:t>
            </w:r>
            <w:r w:rsidR="00B50AE1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月份大幅下挫</w:t>
            </w:r>
            <w:r w:rsidR="00342596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，</w:t>
            </w:r>
            <w:r w:rsidR="00B50AE1">
              <w:rPr>
                <w:rFonts w:ascii="微软雅黑" w:hAnsi="微软雅黑" w:cs="Times New Roman" w:hint="eastAsia"/>
                <w:b/>
                <w:color w:val="005096"/>
                <w:szCs w:val="21"/>
                <w:lang w:val="x-none"/>
              </w:rPr>
              <w:t>资源品逆势上涨</w:t>
            </w:r>
          </w:p>
          <w:p w14:paraId="6C8962B2" w14:textId="77777777" w:rsid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250B1967" w14:textId="77777777" w:rsidR="00740414" w:rsidRPr="00A91D07" w:rsidRDefault="00740414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1AF0B718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44008837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514F4CC6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621AB8D2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18663770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7E0A4C8C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432EF157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007E686B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08AD82A9" w14:textId="69F5504B" w:rsidR="00823E29" w:rsidRPr="00823E29" w:rsidRDefault="00823E29" w:rsidP="00823E29">
            <w:pPr>
              <w:tabs>
                <w:tab w:val="left" w:pos="3995"/>
              </w:tabs>
              <w:rPr>
                <w:rFonts w:ascii="微软雅黑" w:hAnsi="微软雅黑" w:cs="Times New Roman" w:hint="eastAsia"/>
                <w:szCs w:val="21"/>
                <w:lang w:val="x-none"/>
              </w:rPr>
            </w:pPr>
            <w:r>
              <w:rPr>
                <w:rFonts w:ascii="微软雅黑" w:hAnsi="微软雅黑" w:cs="Times New Roman"/>
                <w:szCs w:val="21"/>
                <w:lang w:val="x-none"/>
              </w:rPr>
              <w:tab/>
            </w:r>
          </w:p>
          <w:p w14:paraId="056EFD3C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202B2830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5F7C02C6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4D4D890C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43669152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00B491AF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4A817E6A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53D83578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076436EA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26857C11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  <w:p w14:paraId="730CECD4" w14:textId="77777777" w:rsidR="00823E29" w:rsidRPr="00823E29" w:rsidRDefault="00823E29" w:rsidP="00823E29">
            <w:pPr>
              <w:rPr>
                <w:rFonts w:ascii="微软雅黑" w:hAnsi="微软雅黑" w:cs="Times New Roman" w:hint="eastAsia"/>
                <w:szCs w:val="21"/>
                <w:lang w:val="x-none"/>
              </w:rPr>
            </w:pPr>
          </w:p>
        </w:tc>
      </w:tr>
      <w:tr w:rsidR="00CA68CE" w:rsidRPr="00CC2893" w14:paraId="0912003D" w14:textId="77777777" w:rsidTr="00B50AE1">
        <w:trPr>
          <w:trHeight w:hRule="exact" w:val="4316"/>
        </w:trPr>
        <w:tc>
          <w:tcPr>
            <w:tcW w:w="8544" w:type="dxa"/>
            <w:tcBorders>
              <w:bottom w:val="single" w:sz="4" w:space="0" w:color="2F5496" w:themeColor="accent1" w:themeShade="BF"/>
            </w:tcBorders>
            <w:vAlign w:val="center"/>
          </w:tcPr>
          <w:p w14:paraId="1356EEC0" w14:textId="5EA54617" w:rsidR="00593A73" w:rsidRPr="00593A73" w:rsidRDefault="002260F7" w:rsidP="008E260F">
            <w:pPr>
              <w:rPr>
                <w:rFonts w:ascii="微软雅黑" w:hAnsi="微软雅黑" w:cs="Times New Roman" w:hint="eastAsia"/>
                <w:szCs w:val="21"/>
              </w:rPr>
            </w:pPr>
            <w:r w:rsidRPr="000B132D">
              <w:rPr>
                <w:rFonts w:hint="eastAsia"/>
              </w:rPr>
              <w:t xml:space="preserve"> </w:t>
            </w:r>
            <w:r w:rsidR="00B50AE1" w:rsidRPr="00B50AE1">
              <w:rPr>
                <w:rFonts w:hint="eastAsia"/>
                <w:noProof/>
              </w:rPr>
              <w:drawing>
                <wp:inline distT="0" distB="0" distL="0" distR="0" wp14:anchorId="6C54D754" wp14:editId="01A6FD64">
                  <wp:extent cx="2760086" cy="2268643"/>
                  <wp:effectExtent l="0" t="0" r="2540" b="0"/>
                  <wp:docPr id="1850313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3430" cy="2287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50AE1">
              <w:rPr>
                <w:rFonts w:hint="eastAsia"/>
              </w:rPr>
              <w:t xml:space="preserve"> </w:t>
            </w:r>
            <w:r w:rsidR="00B50AE1" w:rsidRPr="00B50AE1">
              <w:rPr>
                <w:rFonts w:hint="eastAsia"/>
                <w:noProof/>
              </w:rPr>
              <w:drawing>
                <wp:inline distT="0" distB="0" distL="0" distR="0" wp14:anchorId="68663A04" wp14:editId="04E2E97C">
                  <wp:extent cx="2163233" cy="2285561"/>
                  <wp:effectExtent l="0" t="0" r="8890" b="635"/>
                  <wp:docPr id="10570885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0093" cy="230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8CE" w:rsidRPr="00CC2893" w14:paraId="193D1899" w14:textId="77777777" w:rsidTr="005F38D2">
        <w:trPr>
          <w:trHeight w:hRule="exact" w:val="377"/>
        </w:trPr>
        <w:tc>
          <w:tcPr>
            <w:tcW w:w="8544" w:type="dxa"/>
            <w:tcBorders>
              <w:top w:val="single" w:sz="4" w:space="0" w:color="2F5496" w:themeColor="accent1" w:themeShade="BF"/>
            </w:tcBorders>
          </w:tcPr>
          <w:p w14:paraId="129FD863" w14:textId="1E752ED2" w:rsidR="00CA68CE" w:rsidRPr="00596A0F" w:rsidRDefault="00CA68CE" w:rsidP="0045693C">
            <w:pPr>
              <w:autoSpaceDE w:val="0"/>
              <w:autoSpaceDN w:val="0"/>
              <w:rPr>
                <w:rFonts w:ascii="微软雅黑" w:hAnsi="微软雅黑" w:cs="Times New Roman" w:hint="eastAsia"/>
                <w:noProof/>
              </w:rPr>
            </w:pPr>
            <w:r w:rsidRPr="00CC2893">
              <w:rPr>
                <w:rFonts w:ascii="微软雅黑" w:hAnsi="微软雅黑" w:cs="Times New Roman"/>
                <w:sz w:val="16"/>
                <w:szCs w:val="21"/>
              </w:rPr>
              <w:t>数据来源</w:t>
            </w:r>
            <w:r w:rsidR="00E13AC0">
              <w:rPr>
                <w:rFonts w:ascii="微软雅黑" w:hAnsi="微软雅黑" w:cs="Times New Roman" w:hint="eastAsia"/>
                <w:sz w:val="16"/>
                <w:szCs w:val="21"/>
              </w:rPr>
              <w:t>：</w:t>
            </w:r>
            <w:r w:rsidR="00181D37">
              <w:rPr>
                <w:rFonts w:ascii="微软雅黑" w:hAnsi="微软雅黑" w:cs="Times New Roman" w:hint="eastAsia"/>
                <w:sz w:val="16"/>
                <w:szCs w:val="21"/>
              </w:rPr>
              <w:t>同花顺</w:t>
            </w:r>
            <w:r>
              <w:rPr>
                <w:rFonts w:ascii="微软雅黑" w:hAnsi="微软雅黑" w:cs="Times New Roman" w:hint="eastAsia"/>
                <w:sz w:val="16"/>
                <w:szCs w:val="21"/>
              </w:rPr>
              <w:t>，嘉实</w:t>
            </w:r>
            <w:r>
              <w:rPr>
                <w:rFonts w:ascii="微软雅黑" w:hAnsi="微软雅黑" w:cs="Times New Roman"/>
                <w:sz w:val="16"/>
                <w:szCs w:val="21"/>
              </w:rPr>
              <w:t>财富</w:t>
            </w:r>
            <w:r>
              <w:rPr>
                <w:rFonts w:ascii="微软雅黑" w:hAnsi="微软雅黑" w:cs="Times New Roman" w:hint="eastAsia"/>
                <w:sz w:val="16"/>
                <w:szCs w:val="21"/>
              </w:rPr>
              <w:t>，</w:t>
            </w:r>
            <w:r>
              <w:rPr>
                <w:rFonts w:ascii="微软雅黑" w:hAnsi="微软雅黑" w:cs="Times New Roman"/>
                <w:sz w:val="16"/>
                <w:szCs w:val="21"/>
              </w:rPr>
              <w:t>数据截至</w:t>
            </w:r>
            <w:r>
              <w:rPr>
                <w:rFonts w:ascii="微软雅黑" w:hAnsi="微软雅黑" w:cs="Times New Roman" w:hint="eastAsia"/>
                <w:sz w:val="16"/>
                <w:szCs w:val="21"/>
              </w:rPr>
              <w:t>20</w:t>
            </w:r>
            <w:r>
              <w:rPr>
                <w:rFonts w:ascii="微软雅黑" w:hAnsi="微软雅黑" w:cs="Times New Roman"/>
                <w:sz w:val="16"/>
                <w:szCs w:val="21"/>
              </w:rPr>
              <w:t>2</w:t>
            </w:r>
            <w:r w:rsidR="00181D37">
              <w:rPr>
                <w:rFonts w:ascii="微软雅黑" w:hAnsi="微软雅黑" w:cs="Times New Roman" w:hint="eastAsia"/>
                <w:sz w:val="16"/>
                <w:szCs w:val="21"/>
              </w:rPr>
              <w:t>6</w:t>
            </w:r>
            <w:r>
              <w:rPr>
                <w:rFonts w:ascii="微软雅黑" w:hAnsi="微软雅黑" w:cs="Times New Roman" w:hint="eastAsia"/>
                <w:sz w:val="16"/>
                <w:szCs w:val="21"/>
              </w:rPr>
              <w:t>年</w:t>
            </w:r>
            <w:r w:rsidR="00181D37">
              <w:rPr>
                <w:rFonts w:ascii="微软雅黑" w:hAnsi="微软雅黑" w:cs="Times New Roman" w:hint="eastAsia"/>
                <w:sz w:val="16"/>
                <w:szCs w:val="21"/>
              </w:rPr>
              <w:t>3</w:t>
            </w:r>
            <w:r>
              <w:rPr>
                <w:rFonts w:ascii="微软雅黑" w:hAnsi="微软雅黑" w:cs="Times New Roman" w:hint="eastAsia"/>
                <w:sz w:val="16"/>
                <w:szCs w:val="21"/>
              </w:rPr>
              <w:t>月</w:t>
            </w:r>
            <w:r w:rsidR="00196CA6">
              <w:rPr>
                <w:rFonts w:ascii="微软雅黑" w:hAnsi="微软雅黑" w:cs="Times New Roman" w:hint="eastAsia"/>
                <w:sz w:val="16"/>
                <w:szCs w:val="21"/>
              </w:rPr>
              <w:t>3</w:t>
            </w:r>
            <w:r w:rsidR="00863368">
              <w:rPr>
                <w:rFonts w:ascii="微软雅黑" w:hAnsi="微软雅黑" w:cs="Times New Roman" w:hint="eastAsia"/>
                <w:sz w:val="16"/>
                <w:szCs w:val="21"/>
              </w:rPr>
              <w:t>1</w:t>
            </w:r>
            <w:r w:rsidR="00344D9A">
              <w:rPr>
                <w:rFonts w:ascii="微软雅黑" w:hAnsi="微软雅黑" w:cs="Times New Roman" w:hint="eastAsia"/>
                <w:sz w:val="16"/>
                <w:szCs w:val="21"/>
              </w:rPr>
              <w:t>日</w:t>
            </w:r>
          </w:p>
        </w:tc>
      </w:tr>
    </w:tbl>
    <w:p w14:paraId="6776EB61" w14:textId="44397C17" w:rsidR="006F7A4C" w:rsidRDefault="004A0D8A" w:rsidP="006F7A4C">
      <w:pPr>
        <w:ind w:firstLine="420"/>
      </w:pPr>
      <w:r>
        <w:rPr>
          <w:rFonts w:hint="eastAsia"/>
        </w:rPr>
        <w:t>二季度A股有望震荡向上，</w:t>
      </w:r>
      <w:r w:rsidRPr="00CA0229">
        <w:t>核心驱动力将从一季度的“流动性与情绪驱动”</w:t>
      </w:r>
      <w:r>
        <w:rPr>
          <w:rFonts w:hint="eastAsia"/>
        </w:rPr>
        <w:t>的春季行情</w:t>
      </w:r>
      <w:r w:rsidRPr="00CA0229">
        <w:t>转向</w:t>
      </w:r>
      <w:r>
        <w:rPr>
          <w:rFonts w:hint="eastAsia"/>
        </w:rPr>
        <w:t>“</w:t>
      </w:r>
      <w:r w:rsidRPr="00CA0229">
        <w:t>盈利验证与政策预期”</w:t>
      </w:r>
      <w:r>
        <w:rPr>
          <w:rFonts w:hint="eastAsia"/>
        </w:rPr>
        <w:t>，</w:t>
      </w:r>
      <w:r w:rsidRPr="00D16D2A">
        <w:t>短期受制于伊朗问题的发酵与全球通胀预期的反复</w:t>
      </w:r>
      <w:r>
        <w:rPr>
          <w:rFonts w:hint="eastAsia"/>
        </w:rPr>
        <w:t>，</w:t>
      </w:r>
      <w:r w:rsidRPr="00D16D2A">
        <w:t>市场</w:t>
      </w:r>
      <w:r>
        <w:rPr>
          <w:rFonts w:hint="eastAsia"/>
        </w:rPr>
        <w:t>可能</w:t>
      </w:r>
      <w:r w:rsidRPr="00D16D2A">
        <w:t>仍需震荡磨底</w:t>
      </w:r>
      <w:r>
        <w:rPr>
          <w:rFonts w:hint="eastAsia"/>
        </w:rPr>
        <w:t>，较难</w:t>
      </w:r>
      <w:r w:rsidRPr="00D16D2A">
        <w:t>迅速复</w:t>
      </w:r>
      <w:proofErr w:type="gramStart"/>
      <w:r w:rsidRPr="00D16D2A">
        <w:t>刻去年</w:t>
      </w:r>
      <w:proofErr w:type="gramEnd"/>
      <w:r w:rsidRPr="00D16D2A">
        <w:t>对等关税时期“V形反转”的凌厉走势。但随着外部环境的边际缓和与内需政策的持续发力</w:t>
      </w:r>
      <w:r>
        <w:rPr>
          <w:rFonts w:hint="eastAsia"/>
        </w:rPr>
        <w:t>，</w:t>
      </w:r>
      <w:r w:rsidRPr="00D16D2A">
        <w:t>估值</w:t>
      </w:r>
      <w:r>
        <w:rPr>
          <w:rFonts w:hint="eastAsia"/>
        </w:rPr>
        <w:t>的</w:t>
      </w:r>
      <w:r w:rsidRPr="00D16D2A">
        <w:t>消化，</w:t>
      </w:r>
      <w:r>
        <w:rPr>
          <w:rFonts w:hint="eastAsia"/>
        </w:rPr>
        <w:t>A股</w:t>
      </w:r>
      <w:r w:rsidRPr="00D16D2A">
        <w:t>有望在二季度中后期迎来向上拐点</w:t>
      </w:r>
      <w:r w:rsidR="006F7A4C" w:rsidRPr="00F06C6F">
        <w:t>。</w:t>
      </w:r>
    </w:p>
    <w:p w14:paraId="5830E8AA" w14:textId="7514AF4E" w:rsidR="006F7A4C" w:rsidRPr="0043398B" w:rsidRDefault="006F7A4C" w:rsidP="006F7A4C">
      <w:pPr>
        <w:ind w:firstLine="420"/>
        <w:rPr>
          <w:rFonts w:hint="eastAsia"/>
        </w:rPr>
      </w:pPr>
      <w:r>
        <w:rPr>
          <w:rFonts w:hint="eastAsia"/>
        </w:rPr>
        <w:t>复盘A</w:t>
      </w:r>
      <w:proofErr w:type="gramStart"/>
      <w:r>
        <w:rPr>
          <w:rFonts w:hint="eastAsia"/>
        </w:rPr>
        <w:t>股历史</w:t>
      </w:r>
      <w:proofErr w:type="gramEnd"/>
      <w:r>
        <w:rPr>
          <w:rFonts w:hint="eastAsia"/>
        </w:rPr>
        <w:t>规律，</w:t>
      </w:r>
      <w:r w:rsidRPr="00D16D2A">
        <w:t>牛转熊的根本条件</w:t>
      </w:r>
      <w:r>
        <w:rPr>
          <w:rFonts w:hint="eastAsia"/>
        </w:rPr>
        <w:t>是市场</w:t>
      </w:r>
      <w:r w:rsidRPr="00D16D2A">
        <w:t>极度过热</w:t>
      </w:r>
      <w:r>
        <w:rPr>
          <w:rFonts w:hint="eastAsia"/>
        </w:rPr>
        <w:t>或</w:t>
      </w:r>
      <w:r w:rsidRPr="00D16D2A">
        <w:t>基本面全面恶化</w:t>
      </w:r>
      <w:r w:rsidR="00792928">
        <w:rPr>
          <w:rFonts w:hint="eastAsia"/>
        </w:rPr>
        <w:t>：</w:t>
      </w:r>
      <w:r w:rsidRPr="006F7A4C">
        <w:rPr>
          <w:rFonts w:hint="eastAsia"/>
        </w:rPr>
        <w:t>估值方面，</w:t>
      </w:r>
      <w:r w:rsidRPr="00D16D2A">
        <w:t>经历了监管降温与地缘冲击后</w:t>
      </w:r>
      <w:r>
        <w:rPr>
          <w:rFonts w:hint="eastAsia"/>
        </w:rPr>
        <w:t>，市场情绪</w:t>
      </w:r>
      <w:r w:rsidRPr="00D16D2A">
        <w:t>已从1月中旬的历史极</w:t>
      </w:r>
      <w:proofErr w:type="gramStart"/>
      <w:r w:rsidRPr="00D16D2A">
        <w:t>高分位</w:t>
      </w:r>
      <w:proofErr w:type="gramEnd"/>
      <w:r w:rsidRPr="00D16D2A">
        <w:t>迅速回落</w:t>
      </w:r>
      <w:r>
        <w:rPr>
          <w:rFonts w:hint="eastAsia"/>
        </w:rPr>
        <w:t>，</w:t>
      </w:r>
      <w:proofErr w:type="gramStart"/>
      <w:r>
        <w:rPr>
          <w:rFonts w:hint="eastAsia"/>
        </w:rPr>
        <w:t>宽基指数</w:t>
      </w:r>
      <w:proofErr w:type="gramEnd"/>
      <w:r>
        <w:rPr>
          <w:rFonts w:hint="eastAsia"/>
        </w:rPr>
        <w:t>的估值分位回到了相对合理的位置；</w:t>
      </w:r>
      <w:r w:rsidRPr="006F7A4C">
        <w:rPr>
          <w:rFonts w:hint="eastAsia"/>
        </w:rPr>
        <w:t>政策方面，</w:t>
      </w:r>
      <w:r w:rsidRPr="00CA0229">
        <w:t>二季度往往是宏观调控政策加码的重要窗口</w:t>
      </w:r>
      <w:r>
        <w:rPr>
          <w:rFonts w:hint="eastAsia"/>
        </w:rPr>
        <w:t>，</w:t>
      </w:r>
      <w:r w:rsidRPr="00CA0229">
        <w:t>政策</w:t>
      </w:r>
      <w:r>
        <w:rPr>
          <w:rFonts w:hint="eastAsia"/>
        </w:rPr>
        <w:t>发力有望</w:t>
      </w:r>
      <w:r w:rsidRPr="00CA0229">
        <w:t>提升顺周期</w:t>
      </w:r>
      <w:r>
        <w:rPr>
          <w:rFonts w:hint="eastAsia"/>
        </w:rPr>
        <w:t>相关</w:t>
      </w:r>
      <w:r w:rsidRPr="00CA0229">
        <w:t>板块的</w:t>
      </w:r>
      <w:r>
        <w:rPr>
          <w:rFonts w:hint="eastAsia"/>
        </w:rPr>
        <w:t>预期。</w:t>
      </w:r>
      <w:r w:rsidRPr="006F7A4C">
        <w:rPr>
          <w:rFonts w:hint="eastAsia"/>
        </w:rPr>
        <w:t>盈利方面</w:t>
      </w:r>
      <w:r>
        <w:rPr>
          <w:rFonts w:hint="eastAsia"/>
        </w:rPr>
        <w:t>，</w:t>
      </w:r>
      <w:r w:rsidRPr="00D16D2A">
        <w:t>国内宏观经济处于弱复苏验证期</w:t>
      </w:r>
      <w:r>
        <w:rPr>
          <w:rFonts w:hint="eastAsia"/>
        </w:rPr>
        <w:t>，3</w:t>
      </w:r>
      <w:r>
        <w:rPr>
          <w:rFonts w:hint="eastAsia"/>
        </w:rPr>
        <w:lastRenderedPageBreak/>
        <w:t>月制造业PMI指数50.4处于荣枯线之上，而</w:t>
      </w:r>
      <w:r w:rsidRPr="00CA0229">
        <w:t>4月份是A股年报</w:t>
      </w:r>
      <w:r>
        <w:rPr>
          <w:rFonts w:hint="eastAsia"/>
        </w:rPr>
        <w:t>和</w:t>
      </w:r>
      <w:proofErr w:type="gramStart"/>
      <w:r w:rsidRPr="00CA0229">
        <w:t>一</w:t>
      </w:r>
      <w:proofErr w:type="gramEnd"/>
      <w:r w:rsidRPr="00CA0229">
        <w:t>季报的密集披露期</w:t>
      </w:r>
      <w:r>
        <w:rPr>
          <w:rFonts w:hint="eastAsia"/>
        </w:rPr>
        <w:t>，</w:t>
      </w:r>
      <w:r w:rsidRPr="00CA0229">
        <w:t>在宏观经济弱复苏的背景下</w:t>
      </w:r>
      <w:r>
        <w:rPr>
          <w:rFonts w:hint="eastAsia"/>
        </w:rPr>
        <w:t>，</w:t>
      </w:r>
      <w:r w:rsidRPr="00CA0229">
        <w:t>企业盈利分化</w:t>
      </w:r>
      <w:r>
        <w:rPr>
          <w:rFonts w:hint="eastAsia"/>
        </w:rPr>
        <w:t>，主题性投资或面临</w:t>
      </w:r>
      <w:r w:rsidRPr="00CA0229">
        <w:t>估值下修</w:t>
      </w:r>
      <w:r>
        <w:rPr>
          <w:rFonts w:hint="eastAsia"/>
        </w:rPr>
        <w:t>的</w:t>
      </w:r>
      <w:r w:rsidRPr="00CA0229">
        <w:t>压力；</w:t>
      </w:r>
      <w:r>
        <w:rPr>
          <w:rFonts w:hint="eastAsia"/>
        </w:rPr>
        <w:t>但能</w:t>
      </w:r>
      <w:r w:rsidRPr="00CA0229">
        <w:t>逆势盈利增长、展现成本控制力</w:t>
      </w:r>
      <w:r>
        <w:rPr>
          <w:rFonts w:hint="eastAsia"/>
        </w:rPr>
        <w:t>或</w:t>
      </w:r>
      <w:r w:rsidRPr="00CA0229">
        <w:t>市场份额扩张的企业</w:t>
      </w:r>
      <w:r>
        <w:rPr>
          <w:rFonts w:hint="eastAsia"/>
        </w:rPr>
        <w:t>，有望</w:t>
      </w:r>
      <w:r w:rsidRPr="00CA0229">
        <w:t>获得</w:t>
      </w:r>
      <w:r>
        <w:rPr>
          <w:rFonts w:hint="eastAsia"/>
        </w:rPr>
        <w:t>市场</w:t>
      </w:r>
      <w:r w:rsidRPr="00CA0229">
        <w:t>溢价。</w:t>
      </w:r>
      <w:r w:rsidRPr="006F7A4C">
        <w:rPr>
          <w:rFonts w:hint="eastAsia"/>
        </w:rPr>
        <w:t>资金面上</w:t>
      </w:r>
      <w:r>
        <w:rPr>
          <w:rFonts w:hint="eastAsia"/>
        </w:rPr>
        <w:t>，A股资金面一季度经历了大起大落，先是</w:t>
      </w:r>
      <w:r w:rsidRPr="00D768BB">
        <w:t>年初的杠杆资金狂飙与</w:t>
      </w:r>
      <w:proofErr w:type="gramStart"/>
      <w:r w:rsidRPr="00D768BB">
        <w:t>天量银证</w:t>
      </w:r>
      <w:proofErr w:type="gramEnd"/>
      <w:r w:rsidRPr="00D768BB">
        <w:t>转账</w:t>
      </w:r>
      <w:r>
        <w:rPr>
          <w:rFonts w:hint="eastAsia"/>
        </w:rPr>
        <w:t>，但随后又经历了</w:t>
      </w:r>
      <w:r w:rsidRPr="00D768BB">
        <w:t>万亿级ETF净赎回与北向资金的阶段性流出</w:t>
      </w:r>
      <w:r>
        <w:rPr>
          <w:rFonts w:hint="eastAsia"/>
        </w:rPr>
        <w:t>，随着冲突的</w:t>
      </w:r>
      <w:proofErr w:type="gramStart"/>
      <w:r>
        <w:rPr>
          <w:rFonts w:hint="eastAsia"/>
        </w:rPr>
        <w:t>缓和风偏有望</w:t>
      </w:r>
      <w:proofErr w:type="gramEnd"/>
      <w:r>
        <w:rPr>
          <w:rFonts w:hint="eastAsia"/>
        </w:rPr>
        <w:t>修复，资金有望逐步回流。 方向上，二季度可能演绎三条主线，科技、资源、内需。Agent应用爆发，AI科技行情将继续演绎，但</w:t>
      </w:r>
      <w:r w:rsidRPr="00541535">
        <w:t>随着硬件环节估值的快速拔高与交易拥挤度的上升，二季度AI主线的投资逻辑</w:t>
      </w:r>
      <w:r w:rsidR="00832434">
        <w:rPr>
          <w:rFonts w:hint="eastAsia"/>
        </w:rPr>
        <w:t>或</w:t>
      </w:r>
      <w:r w:rsidRPr="00541535">
        <w:t>向纵深演进</w:t>
      </w:r>
      <w:r w:rsidR="005322C3">
        <w:rPr>
          <w:rFonts w:hint="eastAsia"/>
        </w:rPr>
        <w:t>。</w:t>
      </w:r>
    </w:p>
    <w:p w14:paraId="16A13827" w14:textId="0E8E8C33" w:rsidR="00587575" w:rsidRDefault="002B67E8" w:rsidP="006F7A4C">
      <w:pPr>
        <w:ind w:firstLine="420"/>
        <w:rPr>
          <w:rFonts w:hint="eastAsia"/>
        </w:rPr>
      </w:pPr>
      <w:r>
        <w:rPr>
          <w:rFonts w:hint="eastAsia"/>
        </w:rPr>
        <w:t>3</w:t>
      </w:r>
      <w:r w:rsidR="006F7A4C">
        <w:rPr>
          <w:rFonts w:hint="eastAsia"/>
        </w:rPr>
        <w:t>月市场的大幅波动又提供了检验账户、优化账户的机会</w:t>
      </w:r>
      <w:r w:rsidR="00C11842">
        <w:rPr>
          <w:rFonts w:hint="eastAsia"/>
        </w:rPr>
        <w:t>，</w:t>
      </w:r>
      <w:r w:rsidR="006F7A4C">
        <w:rPr>
          <w:rFonts w:hint="eastAsia"/>
        </w:rPr>
        <w:t>持有权益资产该如何应对？首先还是检查权益资产的占比是否符合自己的可承受能力，如果超出就应该适度减仓，不管后续能否反弹，防范系统性风险</w:t>
      </w:r>
      <w:r w:rsidR="00571B18">
        <w:rPr>
          <w:rFonts w:hint="eastAsia"/>
        </w:rPr>
        <w:t>放</w:t>
      </w:r>
      <w:r w:rsidR="006F7A4C">
        <w:rPr>
          <w:rFonts w:hint="eastAsia"/>
        </w:rPr>
        <w:t>第一位；如果可承受，则应检查持仓标的是否禁得起市场考验，比如行业基金是否产业趋势向上？</w:t>
      </w:r>
      <w:proofErr w:type="gramStart"/>
      <w:r w:rsidR="006F7A4C">
        <w:rPr>
          <w:rFonts w:hint="eastAsia"/>
        </w:rPr>
        <w:t>指增基金</w:t>
      </w:r>
      <w:proofErr w:type="gramEnd"/>
      <w:r w:rsidR="006F7A4C">
        <w:rPr>
          <w:rFonts w:hint="eastAsia"/>
        </w:rPr>
        <w:t>是否超额在线？主观基金经理人风格是否漂移，是否有阿尔法等</w:t>
      </w:r>
      <w:r w:rsidR="00C85D38">
        <w:rPr>
          <w:rFonts w:hint="eastAsia"/>
        </w:rPr>
        <w:t>。</w:t>
      </w:r>
      <w:r w:rsidR="000D1F14">
        <w:rPr>
          <w:rFonts w:hint="eastAsia"/>
        </w:rPr>
        <w:t>如果没有需要调整的，那就拿住，甚至启动动平衡</w:t>
      </w:r>
      <w:r w:rsidR="00FF5E4A">
        <w:rPr>
          <w:rFonts w:hint="eastAsia"/>
        </w:rPr>
        <w:t>，</w:t>
      </w:r>
      <w:r w:rsidR="000D1F14">
        <w:rPr>
          <w:rFonts w:hint="eastAsia"/>
        </w:rPr>
        <w:t>调整权益和其他的资产的配置比例。</w:t>
      </w:r>
    </w:p>
    <w:sectPr w:rsidR="005875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021AF" w14:textId="77777777" w:rsidR="00B9206A" w:rsidRDefault="00B9206A" w:rsidP="003C264F">
      <w:pPr>
        <w:rPr>
          <w:rFonts w:hint="eastAsia"/>
        </w:rPr>
      </w:pPr>
      <w:r>
        <w:separator/>
      </w:r>
    </w:p>
  </w:endnote>
  <w:endnote w:type="continuationSeparator" w:id="0">
    <w:p w14:paraId="5EE22C03" w14:textId="77777777" w:rsidR="00B9206A" w:rsidRDefault="00B9206A" w:rsidP="003C26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9AD23A" w14:textId="77777777" w:rsidR="00B9206A" w:rsidRDefault="00B9206A" w:rsidP="003C264F">
      <w:pPr>
        <w:rPr>
          <w:rFonts w:hint="eastAsia"/>
        </w:rPr>
      </w:pPr>
      <w:r>
        <w:separator/>
      </w:r>
    </w:p>
  </w:footnote>
  <w:footnote w:type="continuationSeparator" w:id="0">
    <w:p w14:paraId="480E9E2D" w14:textId="77777777" w:rsidR="00B9206A" w:rsidRDefault="00B9206A" w:rsidP="003C264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11B19"/>
    <w:multiLevelType w:val="hybridMultilevel"/>
    <w:tmpl w:val="418E71C4"/>
    <w:lvl w:ilvl="0" w:tplc="04EABF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F4604C"/>
    <w:multiLevelType w:val="hybridMultilevel"/>
    <w:tmpl w:val="53D0E864"/>
    <w:lvl w:ilvl="0" w:tplc="738404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A10744"/>
    <w:multiLevelType w:val="hybridMultilevel"/>
    <w:tmpl w:val="EBA22B4A"/>
    <w:lvl w:ilvl="0" w:tplc="44468A9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ACE9A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28D1B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CCF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240D2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E0174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EE948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B0B38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4076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956EF"/>
    <w:multiLevelType w:val="hybridMultilevel"/>
    <w:tmpl w:val="5D0ADF04"/>
    <w:lvl w:ilvl="0" w:tplc="6E2C3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BC6DB8"/>
    <w:multiLevelType w:val="hybridMultilevel"/>
    <w:tmpl w:val="14E87F6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977510A"/>
    <w:multiLevelType w:val="hybridMultilevel"/>
    <w:tmpl w:val="CEFAC164"/>
    <w:lvl w:ilvl="0" w:tplc="DBF26BEC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A6D3641"/>
    <w:multiLevelType w:val="hybridMultilevel"/>
    <w:tmpl w:val="36F83E08"/>
    <w:lvl w:ilvl="0" w:tplc="1ABCE9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A455C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9C22F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60440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2A3E3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3434B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88F2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32DD8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76AD5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46927"/>
    <w:multiLevelType w:val="hybridMultilevel"/>
    <w:tmpl w:val="8B2C8A9A"/>
    <w:lvl w:ilvl="0" w:tplc="AE9403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2306034"/>
    <w:multiLevelType w:val="hybridMultilevel"/>
    <w:tmpl w:val="D6D8D100"/>
    <w:lvl w:ilvl="0" w:tplc="8A2E6DB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44AA6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6AC24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5A5D8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DE465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06C8E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7E999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E08E2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626BF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1266E1"/>
    <w:multiLevelType w:val="hybridMultilevel"/>
    <w:tmpl w:val="0A1E65BC"/>
    <w:lvl w:ilvl="0" w:tplc="5994005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84AB9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701D7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ADE2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48836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3C1BA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56605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1AF3D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9C91E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5019D"/>
    <w:multiLevelType w:val="hybridMultilevel"/>
    <w:tmpl w:val="12C210FA"/>
    <w:lvl w:ilvl="0" w:tplc="A052FC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CE80C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4CC40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5046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B4583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0CBC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CE6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AEDC4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E683A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6742717">
    <w:abstractNumId w:val="3"/>
  </w:num>
  <w:num w:numId="2" w16cid:durableId="1622834847">
    <w:abstractNumId w:val="1"/>
  </w:num>
  <w:num w:numId="3" w16cid:durableId="39407023">
    <w:abstractNumId w:val="7"/>
  </w:num>
  <w:num w:numId="4" w16cid:durableId="191309634">
    <w:abstractNumId w:val="2"/>
  </w:num>
  <w:num w:numId="5" w16cid:durableId="1602032735">
    <w:abstractNumId w:val="6"/>
  </w:num>
  <w:num w:numId="6" w16cid:durableId="1611429194">
    <w:abstractNumId w:val="8"/>
  </w:num>
  <w:num w:numId="7" w16cid:durableId="269319510">
    <w:abstractNumId w:val="4"/>
  </w:num>
  <w:num w:numId="8" w16cid:durableId="110326602">
    <w:abstractNumId w:val="5"/>
  </w:num>
  <w:num w:numId="9" w16cid:durableId="8651801">
    <w:abstractNumId w:val="0"/>
  </w:num>
  <w:num w:numId="10" w16cid:durableId="1517115061">
    <w:abstractNumId w:val="9"/>
  </w:num>
  <w:num w:numId="11" w16cid:durableId="20596232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F6B"/>
    <w:rsid w:val="0000263F"/>
    <w:rsid w:val="00004A65"/>
    <w:rsid w:val="00004AE6"/>
    <w:rsid w:val="00004B79"/>
    <w:rsid w:val="00005D1E"/>
    <w:rsid w:val="00012771"/>
    <w:rsid w:val="00013000"/>
    <w:rsid w:val="0001397C"/>
    <w:rsid w:val="00014146"/>
    <w:rsid w:val="000142BE"/>
    <w:rsid w:val="0001479A"/>
    <w:rsid w:val="00014896"/>
    <w:rsid w:val="00014E9B"/>
    <w:rsid w:val="00015D2D"/>
    <w:rsid w:val="00017975"/>
    <w:rsid w:val="0002064A"/>
    <w:rsid w:val="000215BC"/>
    <w:rsid w:val="000230DB"/>
    <w:rsid w:val="00025EDA"/>
    <w:rsid w:val="00026BCC"/>
    <w:rsid w:val="000278C2"/>
    <w:rsid w:val="00031B89"/>
    <w:rsid w:val="0003417B"/>
    <w:rsid w:val="00034D9A"/>
    <w:rsid w:val="000350C0"/>
    <w:rsid w:val="00036718"/>
    <w:rsid w:val="00036A57"/>
    <w:rsid w:val="000372A4"/>
    <w:rsid w:val="0004077C"/>
    <w:rsid w:val="000407A3"/>
    <w:rsid w:val="000437D6"/>
    <w:rsid w:val="00043DFF"/>
    <w:rsid w:val="00051166"/>
    <w:rsid w:val="0005161C"/>
    <w:rsid w:val="00052C43"/>
    <w:rsid w:val="00053A9A"/>
    <w:rsid w:val="00054385"/>
    <w:rsid w:val="000566F6"/>
    <w:rsid w:val="00065F12"/>
    <w:rsid w:val="00067000"/>
    <w:rsid w:val="00067C42"/>
    <w:rsid w:val="00070568"/>
    <w:rsid w:val="00071008"/>
    <w:rsid w:val="0007277F"/>
    <w:rsid w:val="00072CCC"/>
    <w:rsid w:val="000734F9"/>
    <w:rsid w:val="00074716"/>
    <w:rsid w:val="00074DAD"/>
    <w:rsid w:val="00074E44"/>
    <w:rsid w:val="00075937"/>
    <w:rsid w:val="00076066"/>
    <w:rsid w:val="000762E9"/>
    <w:rsid w:val="00076356"/>
    <w:rsid w:val="000763F7"/>
    <w:rsid w:val="00077209"/>
    <w:rsid w:val="00082313"/>
    <w:rsid w:val="00082A79"/>
    <w:rsid w:val="00082B44"/>
    <w:rsid w:val="0008321C"/>
    <w:rsid w:val="00083BCB"/>
    <w:rsid w:val="00086B40"/>
    <w:rsid w:val="00091989"/>
    <w:rsid w:val="00092C27"/>
    <w:rsid w:val="00093A86"/>
    <w:rsid w:val="00096BF5"/>
    <w:rsid w:val="000A06A0"/>
    <w:rsid w:val="000A1A89"/>
    <w:rsid w:val="000A4714"/>
    <w:rsid w:val="000A4C80"/>
    <w:rsid w:val="000A4CE0"/>
    <w:rsid w:val="000A5B51"/>
    <w:rsid w:val="000A6E09"/>
    <w:rsid w:val="000B048B"/>
    <w:rsid w:val="000B132D"/>
    <w:rsid w:val="000B22C0"/>
    <w:rsid w:val="000B262A"/>
    <w:rsid w:val="000B34C9"/>
    <w:rsid w:val="000B378C"/>
    <w:rsid w:val="000C1D9E"/>
    <w:rsid w:val="000C2D1D"/>
    <w:rsid w:val="000C4096"/>
    <w:rsid w:val="000C4164"/>
    <w:rsid w:val="000C5307"/>
    <w:rsid w:val="000C7D1F"/>
    <w:rsid w:val="000D1CE9"/>
    <w:rsid w:val="000D1F14"/>
    <w:rsid w:val="000D2ED9"/>
    <w:rsid w:val="000D30D4"/>
    <w:rsid w:val="000D3201"/>
    <w:rsid w:val="000D52F3"/>
    <w:rsid w:val="000D64B7"/>
    <w:rsid w:val="000E0216"/>
    <w:rsid w:val="000E1D88"/>
    <w:rsid w:val="000E5922"/>
    <w:rsid w:val="000E6974"/>
    <w:rsid w:val="000E79C6"/>
    <w:rsid w:val="000F09D7"/>
    <w:rsid w:val="000F108A"/>
    <w:rsid w:val="000F16AE"/>
    <w:rsid w:val="000F17E6"/>
    <w:rsid w:val="000F367C"/>
    <w:rsid w:val="000F46C4"/>
    <w:rsid w:val="000F4910"/>
    <w:rsid w:val="000F525F"/>
    <w:rsid w:val="000F5689"/>
    <w:rsid w:val="000F7EA0"/>
    <w:rsid w:val="0010144A"/>
    <w:rsid w:val="0010190D"/>
    <w:rsid w:val="001041BE"/>
    <w:rsid w:val="0010427B"/>
    <w:rsid w:val="001074D2"/>
    <w:rsid w:val="00107FFD"/>
    <w:rsid w:val="0011041D"/>
    <w:rsid w:val="00110F9D"/>
    <w:rsid w:val="001157E1"/>
    <w:rsid w:val="00115940"/>
    <w:rsid w:val="00117B46"/>
    <w:rsid w:val="00120C70"/>
    <w:rsid w:val="00122E42"/>
    <w:rsid w:val="00123E61"/>
    <w:rsid w:val="00124241"/>
    <w:rsid w:val="0012583A"/>
    <w:rsid w:val="00125D38"/>
    <w:rsid w:val="00125FED"/>
    <w:rsid w:val="001270D5"/>
    <w:rsid w:val="00127E0E"/>
    <w:rsid w:val="0013271F"/>
    <w:rsid w:val="00133086"/>
    <w:rsid w:val="00135152"/>
    <w:rsid w:val="001366C6"/>
    <w:rsid w:val="0013700B"/>
    <w:rsid w:val="001371BD"/>
    <w:rsid w:val="00137288"/>
    <w:rsid w:val="0014071A"/>
    <w:rsid w:val="00140C0B"/>
    <w:rsid w:val="00140DC0"/>
    <w:rsid w:val="00141B16"/>
    <w:rsid w:val="00141B4B"/>
    <w:rsid w:val="00143025"/>
    <w:rsid w:val="00143A9D"/>
    <w:rsid w:val="001456A2"/>
    <w:rsid w:val="0014593E"/>
    <w:rsid w:val="00145A69"/>
    <w:rsid w:val="00154230"/>
    <w:rsid w:val="00155311"/>
    <w:rsid w:val="0015575C"/>
    <w:rsid w:val="0015716D"/>
    <w:rsid w:val="00160350"/>
    <w:rsid w:val="00160614"/>
    <w:rsid w:val="00163833"/>
    <w:rsid w:val="00164735"/>
    <w:rsid w:val="00164B0B"/>
    <w:rsid w:val="00165128"/>
    <w:rsid w:val="0016570A"/>
    <w:rsid w:val="00165B51"/>
    <w:rsid w:val="0016683E"/>
    <w:rsid w:val="00166A51"/>
    <w:rsid w:val="001718D0"/>
    <w:rsid w:val="00171EC2"/>
    <w:rsid w:val="0017243E"/>
    <w:rsid w:val="001725D7"/>
    <w:rsid w:val="00174D9F"/>
    <w:rsid w:val="00175B13"/>
    <w:rsid w:val="00176EA1"/>
    <w:rsid w:val="00177603"/>
    <w:rsid w:val="0018118D"/>
    <w:rsid w:val="00181D37"/>
    <w:rsid w:val="001850C5"/>
    <w:rsid w:val="00185CB3"/>
    <w:rsid w:val="001872A4"/>
    <w:rsid w:val="00187CB5"/>
    <w:rsid w:val="001908B0"/>
    <w:rsid w:val="00190CED"/>
    <w:rsid w:val="001919B1"/>
    <w:rsid w:val="00191DA5"/>
    <w:rsid w:val="00193EEC"/>
    <w:rsid w:val="00196CA6"/>
    <w:rsid w:val="00197C1F"/>
    <w:rsid w:val="001A1918"/>
    <w:rsid w:val="001A25C2"/>
    <w:rsid w:val="001A283F"/>
    <w:rsid w:val="001A713E"/>
    <w:rsid w:val="001B021D"/>
    <w:rsid w:val="001B2964"/>
    <w:rsid w:val="001B30F0"/>
    <w:rsid w:val="001B3896"/>
    <w:rsid w:val="001B3E5D"/>
    <w:rsid w:val="001B479C"/>
    <w:rsid w:val="001B4E7F"/>
    <w:rsid w:val="001B6354"/>
    <w:rsid w:val="001B65B4"/>
    <w:rsid w:val="001C1C90"/>
    <w:rsid w:val="001C399A"/>
    <w:rsid w:val="001C4E96"/>
    <w:rsid w:val="001C5092"/>
    <w:rsid w:val="001C6833"/>
    <w:rsid w:val="001C7EEE"/>
    <w:rsid w:val="001D0201"/>
    <w:rsid w:val="001D1094"/>
    <w:rsid w:val="001D1613"/>
    <w:rsid w:val="001D1A1B"/>
    <w:rsid w:val="001D1E72"/>
    <w:rsid w:val="001D2AD9"/>
    <w:rsid w:val="001D2BC3"/>
    <w:rsid w:val="001D3DD9"/>
    <w:rsid w:val="001D4779"/>
    <w:rsid w:val="001D590B"/>
    <w:rsid w:val="001D64CB"/>
    <w:rsid w:val="001E1284"/>
    <w:rsid w:val="001E269A"/>
    <w:rsid w:val="001E3719"/>
    <w:rsid w:val="001E4BA2"/>
    <w:rsid w:val="001E76D5"/>
    <w:rsid w:val="001E7D13"/>
    <w:rsid w:val="001F2C2C"/>
    <w:rsid w:val="001F2CE9"/>
    <w:rsid w:val="001F3FC2"/>
    <w:rsid w:val="001F3FCA"/>
    <w:rsid w:val="001F5A3F"/>
    <w:rsid w:val="001F6755"/>
    <w:rsid w:val="001F7F57"/>
    <w:rsid w:val="00200560"/>
    <w:rsid w:val="002006B3"/>
    <w:rsid w:val="00201B66"/>
    <w:rsid w:val="002034A1"/>
    <w:rsid w:val="00206D8D"/>
    <w:rsid w:val="00207370"/>
    <w:rsid w:val="002077D9"/>
    <w:rsid w:val="00207D0F"/>
    <w:rsid w:val="00210F6D"/>
    <w:rsid w:val="00211F19"/>
    <w:rsid w:val="002148D6"/>
    <w:rsid w:val="002150C9"/>
    <w:rsid w:val="00217777"/>
    <w:rsid w:val="00222143"/>
    <w:rsid w:val="00222581"/>
    <w:rsid w:val="00223FA9"/>
    <w:rsid w:val="002260F7"/>
    <w:rsid w:val="002265CD"/>
    <w:rsid w:val="00232994"/>
    <w:rsid w:val="00233B2B"/>
    <w:rsid w:val="00233D1E"/>
    <w:rsid w:val="00236514"/>
    <w:rsid w:val="00236FA6"/>
    <w:rsid w:val="00237BE9"/>
    <w:rsid w:val="00241882"/>
    <w:rsid w:val="00241957"/>
    <w:rsid w:val="00242C45"/>
    <w:rsid w:val="002433AA"/>
    <w:rsid w:val="00247052"/>
    <w:rsid w:val="00250FBE"/>
    <w:rsid w:val="00252B1C"/>
    <w:rsid w:val="00252C1D"/>
    <w:rsid w:val="002530E7"/>
    <w:rsid w:val="00254510"/>
    <w:rsid w:val="00255D61"/>
    <w:rsid w:val="002579EB"/>
    <w:rsid w:val="002601B0"/>
    <w:rsid w:val="00260CF3"/>
    <w:rsid w:val="00261485"/>
    <w:rsid w:val="00262301"/>
    <w:rsid w:val="002623DE"/>
    <w:rsid w:val="002677A3"/>
    <w:rsid w:val="00270EB7"/>
    <w:rsid w:val="00271575"/>
    <w:rsid w:val="00272539"/>
    <w:rsid w:val="00272D36"/>
    <w:rsid w:val="00273513"/>
    <w:rsid w:val="0027356A"/>
    <w:rsid w:val="00273FA0"/>
    <w:rsid w:val="00274383"/>
    <w:rsid w:val="002774FF"/>
    <w:rsid w:val="00280B20"/>
    <w:rsid w:val="00280DF3"/>
    <w:rsid w:val="002814A3"/>
    <w:rsid w:val="00281B2B"/>
    <w:rsid w:val="0028262A"/>
    <w:rsid w:val="002828AE"/>
    <w:rsid w:val="002834DD"/>
    <w:rsid w:val="00283EC1"/>
    <w:rsid w:val="00285685"/>
    <w:rsid w:val="0029079D"/>
    <w:rsid w:val="00291120"/>
    <w:rsid w:val="002929F9"/>
    <w:rsid w:val="002936BA"/>
    <w:rsid w:val="0029445E"/>
    <w:rsid w:val="00295F27"/>
    <w:rsid w:val="00296C34"/>
    <w:rsid w:val="00296DFF"/>
    <w:rsid w:val="002A07D6"/>
    <w:rsid w:val="002A2833"/>
    <w:rsid w:val="002A2E31"/>
    <w:rsid w:val="002A3F6F"/>
    <w:rsid w:val="002A495F"/>
    <w:rsid w:val="002A60E6"/>
    <w:rsid w:val="002A6B1A"/>
    <w:rsid w:val="002A72B2"/>
    <w:rsid w:val="002B0DB6"/>
    <w:rsid w:val="002B1141"/>
    <w:rsid w:val="002B2B2A"/>
    <w:rsid w:val="002B2CF4"/>
    <w:rsid w:val="002B37E8"/>
    <w:rsid w:val="002B3A13"/>
    <w:rsid w:val="002B3AA5"/>
    <w:rsid w:val="002B3AD2"/>
    <w:rsid w:val="002B62B2"/>
    <w:rsid w:val="002B67E8"/>
    <w:rsid w:val="002B6CF5"/>
    <w:rsid w:val="002B75E2"/>
    <w:rsid w:val="002B7E75"/>
    <w:rsid w:val="002C2111"/>
    <w:rsid w:val="002C381B"/>
    <w:rsid w:val="002C5B94"/>
    <w:rsid w:val="002D1412"/>
    <w:rsid w:val="002D2142"/>
    <w:rsid w:val="002D2788"/>
    <w:rsid w:val="002D367A"/>
    <w:rsid w:val="002D5186"/>
    <w:rsid w:val="002D6CC4"/>
    <w:rsid w:val="002D7526"/>
    <w:rsid w:val="002D7B13"/>
    <w:rsid w:val="002D7BE6"/>
    <w:rsid w:val="002E0E62"/>
    <w:rsid w:val="002E14D2"/>
    <w:rsid w:val="002E1CBF"/>
    <w:rsid w:val="002E24EA"/>
    <w:rsid w:val="002E26E2"/>
    <w:rsid w:val="002E2D01"/>
    <w:rsid w:val="002E6F19"/>
    <w:rsid w:val="002F0FCE"/>
    <w:rsid w:val="002F1C45"/>
    <w:rsid w:val="002F3ED1"/>
    <w:rsid w:val="002F49A1"/>
    <w:rsid w:val="002F5273"/>
    <w:rsid w:val="002F661E"/>
    <w:rsid w:val="002F7844"/>
    <w:rsid w:val="002F7E80"/>
    <w:rsid w:val="003007FF"/>
    <w:rsid w:val="003015BD"/>
    <w:rsid w:val="00301926"/>
    <w:rsid w:val="003026CF"/>
    <w:rsid w:val="00302C8D"/>
    <w:rsid w:val="00304094"/>
    <w:rsid w:val="0030573C"/>
    <w:rsid w:val="00305975"/>
    <w:rsid w:val="003102E8"/>
    <w:rsid w:val="00310B99"/>
    <w:rsid w:val="0031176E"/>
    <w:rsid w:val="00322F59"/>
    <w:rsid w:val="003251EB"/>
    <w:rsid w:val="00325478"/>
    <w:rsid w:val="0032556C"/>
    <w:rsid w:val="00326D36"/>
    <w:rsid w:val="00327C9F"/>
    <w:rsid w:val="00331238"/>
    <w:rsid w:val="00335396"/>
    <w:rsid w:val="0033581D"/>
    <w:rsid w:val="00335F1A"/>
    <w:rsid w:val="00337224"/>
    <w:rsid w:val="00337E96"/>
    <w:rsid w:val="003411DE"/>
    <w:rsid w:val="0034172A"/>
    <w:rsid w:val="00341971"/>
    <w:rsid w:val="00342596"/>
    <w:rsid w:val="00344D9A"/>
    <w:rsid w:val="00345FD6"/>
    <w:rsid w:val="003479AD"/>
    <w:rsid w:val="00351CE0"/>
    <w:rsid w:val="00352041"/>
    <w:rsid w:val="003547E7"/>
    <w:rsid w:val="00355B89"/>
    <w:rsid w:val="003567E3"/>
    <w:rsid w:val="00356FAC"/>
    <w:rsid w:val="00362C3A"/>
    <w:rsid w:val="003664DB"/>
    <w:rsid w:val="0036660F"/>
    <w:rsid w:val="003673DC"/>
    <w:rsid w:val="0036794A"/>
    <w:rsid w:val="003751DF"/>
    <w:rsid w:val="00375EF8"/>
    <w:rsid w:val="00381C0F"/>
    <w:rsid w:val="00382876"/>
    <w:rsid w:val="003838F3"/>
    <w:rsid w:val="003845A5"/>
    <w:rsid w:val="003859A1"/>
    <w:rsid w:val="00386625"/>
    <w:rsid w:val="00387A2F"/>
    <w:rsid w:val="00387C4B"/>
    <w:rsid w:val="00387E16"/>
    <w:rsid w:val="0039275C"/>
    <w:rsid w:val="00392794"/>
    <w:rsid w:val="003938EA"/>
    <w:rsid w:val="003A2BBC"/>
    <w:rsid w:val="003A353F"/>
    <w:rsid w:val="003A6151"/>
    <w:rsid w:val="003A6240"/>
    <w:rsid w:val="003A70B1"/>
    <w:rsid w:val="003B185D"/>
    <w:rsid w:val="003B3422"/>
    <w:rsid w:val="003B48A2"/>
    <w:rsid w:val="003B4CF4"/>
    <w:rsid w:val="003B51DF"/>
    <w:rsid w:val="003B6165"/>
    <w:rsid w:val="003B6384"/>
    <w:rsid w:val="003B6396"/>
    <w:rsid w:val="003B64DE"/>
    <w:rsid w:val="003B7074"/>
    <w:rsid w:val="003B78E6"/>
    <w:rsid w:val="003B7E35"/>
    <w:rsid w:val="003C0F6F"/>
    <w:rsid w:val="003C114B"/>
    <w:rsid w:val="003C1213"/>
    <w:rsid w:val="003C264F"/>
    <w:rsid w:val="003C26DF"/>
    <w:rsid w:val="003D0C5C"/>
    <w:rsid w:val="003D2978"/>
    <w:rsid w:val="003D2FCB"/>
    <w:rsid w:val="003D5D1F"/>
    <w:rsid w:val="003E020C"/>
    <w:rsid w:val="003E0841"/>
    <w:rsid w:val="003E09CB"/>
    <w:rsid w:val="003E0ED2"/>
    <w:rsid w:val="003E3894"/>
    <w:rsid w:val="003E3F37"/>
    <w:rsid w:val="003E4906"/>
    <w:rsid w:val="003E655B"/>
    <w:rsid w:val="003E6D10"/>
    <w:rsid w:val="003E6F20"/>
    <w:rsid w:val="003E74F8"/>
    <w:rsid w:val="003F122E"/>
    <w:rsid w:val="003F28C3"/>
    <w:rsid w:val="003F5CB6"/>
    <w:rsid w:val="003F64DB"/>
    <w:rsid w:val="003F73B6"/>
    <w:rsid w:val="004007F1"/>
    <w:rsid w:val="00401E3B"/>
    <w:rsid w:val="00402C2E"/>
    <w:rsid w:val="00403E1C"/>
    <w:rsid w:val="00404329"/>
    <w:rsid w:val="00404FDF"/>
    <w:rsid w:val="00407BF0"/>
    <w:rsid w:val="0041102E"/>
    <w:rsid w:val="004119F1"/>
    <w:rsid w:val="00411C59"/>
    <w:rsid w:val="004140D0"/>
    <w:rsid w:val="00415111"/>
    <w:rsid w:val="00415307"/>
    <w:rsid w:val="00416D43"/>
    <w:rsid w:val="00417472"/>
    <w:rsid w:val="00422A03"/>
    <w:rsid w:val="00423831"/>
    <w:rsid w:val="00427567"/>
    <w:rsid w:val="00427739"/>
    <w:rsid w:val="004320F2"/>
    <w:rsid w:val="0043307D"/>
    <w:rsid w:val="00433C86"/>
    <w:rsid w:val="004344C2"/>
    <w:rsid w:val="004362F9"/>
    <w:rsid w:val="00437790"/>
    <w:rsid w:val="004427D7"/>
    <w:rsid w:val="004444D6"/>
    <w:rsid w:val="0044505A"/>
    <w:rsid w:val="00447CDC"/>
    <w:rsid w:val="00451F61"/>
    <w:rsid w:val="0045693C"/>
    <w:rsid w:val="00456F0D"/>
    <w:rsid w:val="00457AF7"/>
    <w:rsid w:val="00460C13"/>
    <w:rsid w:val="0046235E"/>
    <w:rsid w:val="004633E4"/>
    <w:rsid w:val="004637D1"/>
    <w:rsid w:val="0046417B"/>
    <w:rsid w:val="00464699"/>
    <w:rsid w:val="0046662E"/>
    <w:rsid w:val="00470B62"/>
    <w:rsid w:val="00470C85"/>
    <w:rsid w:val="00472359"/>
    <w:rsid w:val="00472FBD"/>
    <w:rsid w:val="00473B16"/>
    <w:rsid w:val="00473CE4"/>
    <w:rsid w:val="00474C95"/>
    <w:rsid w:val="00476459"/>
    <w:rsid w:val="004767D3"/>
    <w:rsid w:val="00476810"/>
    <w:rsid w:val="00476CF2"/>
    <w:rsid w:val="00477111"/>
    <w:rsid w:val="00477626"/>
    <w:rsid w:val="00490794"/>
    <w:rsid w:val="00491394"/>
    <w:rsid w:val="0049549B"/>
    <w:rsid w:val="00495B59"/>
    <w:rsid w:val="004978C8"/>
    <w:rsid w:val="00497DAD"/>
    <w:rsid w:val="004A0C66"/>
    <w:rsid w:val="004A0D8A"/>
    <w:rsid w:val="004A2DBA"/>
    <w:rsid w:val="004A3984"/>
    <w:rsid w:val="004A4358"/>
    <w:rsid w:val="004A5A25"/>
    <w:rsid w:val="004A5FCA"/>
    <w:rsid w:val="004A6136"/>
    <w:rsid w:val="004A7183"/>
    <w:rsid w:val="004B2EB9"/>
    <w:rsid w:val="004B7793"/>
    <w:rsid w:val="004C018E"/>
    <w:rsid w:val="004C1048"/>
    <w:rsid w:val="004C1F88"/>
    <w:rsid w:val="004C25B0"/>
    <w:rsid w:val="004C42F6"/>
    <w:rsid w:val="004C4710"/>
    <w:rsid w:val="004C519E"/>
    <w:rsid w:val="004C5D5B"/>
    <w:rsid w:val="004D2107"/>
    <w:rsid w:val="004D381A"/>
    <w:rsid w:val="004D5E8D"/>
    <w:rsid w:val="004D7331"/>
    <w:rsid w:val="004D7D3B"/>
    <w:rsid w:val="004E1667"/>
    <w:rsid w:val="004E192A"/>
    <w:rsid w:val="004E3085"/>
    <w:rsid w:val="004E3D9C"/>
    <w:rsid w:val="004E3F9B"/>
    <w:rsid w:val="004E4516"/>
    <w:rsid w:val="004E5CF1"/>
    <w:rsid w:val="004E6EE4"/>
    <w:rsid w:val="004E7887"/>
    <w:rsid w:val="004E7B8A"/>
    <w:rsid w:val="004E7E3D"/>
    <w:rsid w:val="004F1607"/>
    <w:rsid w:val="004F1E19"/>
    <w:rsid w:val="004F347D"/>
    <w:rsid w:val="004F3A34"/>
    <w:rsid w:val="004F6372"/>
    <w:rsid w:val="00500A30"/>
    <w:rsid w:val="0050149A"/>
    <w:rsid w:val="00503623"/>
    <w:rsid w:val="00503871"/>
    <w:rsid w:val="00503C57"/>
    <w:rsid w:val="00504270"/>
    <w:rsid w:val="005057CD"/>
    <w:rsid w:val="0050628A"/>
    <w:rsid w:val="005073CA"/>
    <w:rsid w:val="005079FF"/>
    <w:rsid w:val="00507BAC"/>
    <w:rsid w:val="00507D21"/>
    <w:rsid w:val="00510234"/>
    <w:rsid w:val="0051064C"/>
    <w:rsid w:val="00513E9C"/>
    <w:rsid w:val="00515135"/>
    <w:rsid w:val="00517186"/>
    <w:rsid w:val="005212B1"/>
    <w:rsid w:val="0052199C"/>
    <w:rsid w:val="00522929"/>
    <w:rsid w:val="005255E9"/>
    <w:rsid w:val="0052653B"/>
    <w:rsid w:val="00526F4C"/>
    <w:rsid w:val="00527E80"/>
    <w:rsid w:val="00530883"/>
    <w:rsid w:val="005322C3"/>
    <w:rsid w:val="0053510A"/>
    <w:rsid w:val="005352E8"/>
    <w:rsid w:val="00535E11"/>
    <w:rsid w:val="00537C8B"/>
    <w:rsid w:val="00540192"/>
    <w:rsid w:val="00541187"/>
    <w:rsid w:val="00541339"/>
    <w:rsid w:val="00542124"/>
    <w:rsid w:val="00543FFE"/>
    <w:rsid w:val="005442CA"/>
    <w:rsid w:val="00545094"/>
    <w:rsid w:val="0054591C"/>
    <w:rsid w:val="00547142"/>
    <w:rsid w:val="0055038A"/>
    <w:rsid w:val="00550CDA"/>
    <w:rsid w:val="00550D2C"/>
    <w:rsid w:val="00551275"/>
    <w:rsid w:val="00551599"/>
    <w:rsid w:val="00553E64"/>
    <w:rsid w:val="005541BB"/>
    <w:rsid w:val="00555595"/>
    <w:rsid w:val="0055700F"/>
    <w:rsid w:val="00557620"/>
    <w:rsid w:val="00557E80"/>
    <w:rsid w:val="00561102"/>
    <w:rsid w:val="0056110D"/>
    <w:rsid w:val="0056327C"/>
    <w:rsid w:val="00563F4C"/>
    <w:rsid w:val="0056538B"/>
    <w:rsid w:val="0056547B"/>
    <w:rsid w:val="00571117"/>
    <w:rsid w:val="00571B18"/>
    <w:rsid w:val="00574342"/>
    <w:rsid w:val="00575B07"/>
    <w:rsid w:val="005763A8"/>
    <w:rsid w:val="0057684B"/>
    <w:rsid w:val="005803C5"/>
    <w:rsid w:val="00580A43"/>
    <w:rsid w:val="00583009"/>
    <w:rsid w:val="00583423"/>
    <w:rsid w:val="00583E68"/>
    <w:rsid w:val="005844D6"/>
    <w:rsid w:val="005845DB"/>
    <w:rsid w:val="00584D82"/>
    <w:rsid w:val="0058574D"/>
    <w:rsid w:val="00586005"/>
    <w:rsid w:val="00586B5B"/>
    <w:rsid w:val="00587575"/>
    <w:rsid w:val="0059214D"/>
    <w:rsid w:val="00592D0F"/>
    <w:rsid w:val="00593A73"/>
    <w:rsid w:val="00593D3F"/>
    <w:rsid w:val="00596325"/>
    <w:rsid w:val="0059638F"/>
    <w:rsid w:val="00597033"/>
    <w:rsid w:val="00597C5A"/>
    <w:rsid w:val="005A132B"/>
    <w:rsid w:val="005A4C3A"/>
    <w:rsid w:val="005B0FD4"/>
    <w:rsid w:val="005B1AB8"/>
    <w:rsid w:val="005B33C4"/>
    <w:rsid w:val="005B39FE"/>
    <w:rsid w:val="005B5C9D"/>
    <w:rsid w:val="005B6E9F"/>
    <w:rsid w:val="005C0961"/>
    <w:rsid w:val="005C178B"/>
    <w:rsid w:val="005C2B46"/>
    <w:rsid w:val="005C2F77"/>
    <w:rsid w:val="005C3420"/>
    <w:rsid w:val="005C48C1"/>
    <w:rsid w:val="005C526D"/>
    <w:rsid w:val="005C5F62"/>
    <w:rsid w:val="005C7185"/>
    <w:rsid w:val="005D04AC"/>
    <w:rsid w:val="005D0F41"/>
    <w:rsid w:val="005D143E"/>
    <w:rsid w:val="005D2EE2"/>
    <w:rsid w:val="005D3801"/>
    <w:rsid w:val="005D48A3"/>
    <w:rsid w:val="005D4928"/>
    <w:rsid w:val="005D4D51"/>
    <w:rsid w:val="005D6731"/>
    <w:rsid w:val="005E37B2"/>
    <w:rsid w:val="005E420B"/>
    <w:rsid w:val="005E5600"/>
    <w:rsid w:val="005E59EB"/>
    <w:rsid w:val="005E6A2A"/>
    <w:rsid w:val="005E6E9D"/>
    <w:rsid w:val="005E7075"/>
    <w:rsid w:val="005E72C1"/>
    <w:rsid w:val="005E7517"/>
    <w:rsid w:val="005E79A7"/>
    <w:rsid w:val="005F0008"/>
    <w:rsid w:val="005F02E2"/>
    <w:rsid w:val="005F0323"/>
    <w:rsid w:val="005F38D2"/>
    <w:rsid w:val="005F427E"/>
    <w:rsid w:val="005F72B1"/>
    <w:rsid w:val="005F7436"/>
    <w:rsid w:val="005F75A7"/>
    <w:rsid w:val="005F7E05"/>
    <w:rsid w:val="005F7E67"/>
    <w:rsid w:val="00601EE7"/>
    <w:rsid w:val="00603F6B"/>
    <w:rsid w:val="006046D3"/>
    <w:rsid w:val="0060567A"/>
    <w:rsid w:val="00607E36"/>
    <w:rsid w:val="00607F70"/>
    <w:rsid w:val="00622635"/>
    <w:rsid w:val="00622B6A"/>
    <w:rsid w:val="00622CAD"/>
    <w:rsid w:val="006236C6"/>
    <w:rsid w:val="006249B0"/>
    <w:rsid w:val="006259C8"/>
    <w:rsid w:val="00625B06"/>
    <w:rsid w:val="00625CF7"/>
    <w:rsid w:val="00625FF8"/>
    <w:rsid w:val="00632365"/>
    <w:rsid w:val="00635834"/>
    <w:rsid w:val="00635F97"/>
    <w:rsid w:val="00640118"/>
    <w:rsid w:val="00643000"/>
    <w:rsid w:val="006439A9"/>
    <w:rsid w:val="00644423"/>
    <w:rsid w:val="00644673"/>
    <w:rsid w:val="00645F13"/>
    <w:rsid w:val="006469E5"/>
    <w:rsid w:val="00647424"/>
    <w:rsid w:val="00653B05"/>
    <w:rsid w:val="00654B4C"/>
    <w:rsid w:val="00655166"/>
    <w:rsid w:val="006552FC"/>
    <w:rsid w:val="006603DA"/>
    <w:rsid w:val="006605A6"/>
    <w:rsid w:val="00663DDE"/>
    <w:rsid w:val="00663EBD"/>
    <w:rsid w:val="0066639A"/>
    <w:rsid w:val="00666897"/>
    <w:rsid w:val="00666F87"/>
    <w:rsid w:val="00667426"/>
    <w:rsid w:val="006709DF"/>
    <w:rsid w:val="006710AE"/>
    <w:rsid w:val="006712F4"/>
    <w:rsid w:val="00672383"/>
    <w:rsid w:val="00673A8F"/>
    <w:rsid w:val="00676903"/>
    <w:rsid w:val="006769E4"/>
    <w:rsid w:val="00676E51"/>
    <w:rsid w:val="006811A6"/>
    <w:rsid w:val="00682936"/>
    <w:rsid w:val="00685443"/>
    <w:rsid w:val="00685634"/>
    <w:rsid w:val="00686012"/>
    <w:rsid w:val="0069051C"/>
    <w:rsid w:val="00691649"/>
    <w:rsid w:val="0069239E"/>
    <w:rsid w:val="00692F82"/>
    <w:rsid w:val="00693AF9"/>
    <w:rsid w:val="00695591"/>
    <w:rsid w:val="006965CD"/>
    <w:rsid w:val="00696FBC"/>
    <w:rsid w:val="00697BA6"/>
    <w:rsid w:val="006A0AAB"/>
    <w:rsid w:val="006A1290"/>
    <w:rsid w:val="006A1BBE"/>
    <w:rsid w:val="006A21CD"/>
    <w:rsid w:val="006A3420"/>
    <w:rsid w:val="006A372F"/>
    <w:rsid w:val="006A4B99"/>
    <w:rsid w:val="006A4C54"/>
    <w:rsid w:val="006A67E6"/>
    <w:rsid w:val="006A73A7"/>
    <w:rsid w:val="006B4904"/>
    <w:rsid w:val="006B4B7B"/>
    <w:rsid w:val="006B4E14"/>
    <w:rsid w:val="006B55A6"/>
    <w:rsid w:val="006B5A05"/>
    <w:rsid w:val="006C042D"/>
    <w:rsid w:val="006C11A6"/>
    <w:rsid w:val="006C62BE"/>
    <w:rsid w:val="006C766C"/>
    <w:rsid w:val="006D02B3"/>
    <w:rsid w:val="006D071F"/>
    <w:rsid w:val="006D15FD"/>
    <w:rsid w:val="006D26FA"/>
    <w:rsid w:val="006D52CC"/>
    <w:rsid w:val="006D6104"/>
    <w:rsid w:val="006D76C3"/>
    <w:rsid w:val="006E04AE"/>
    <w:rsid w:val="006E1BA7"/>
    <w:rsid w:val="006E227D"/>
    <w:rsid w:val="006E2E63"/>
    <w:rsid w:val="006E33EF"/>
    <w:rsid w:val="006E7087"/>
    <w:rsid w:val="006E729F"/>
    <w:rsid w:val="006F079F"/>
    <w:rsid w:val="006F0E88"/>
    <w:rsid w:val="006F11A9"/>
    <w:rsid w:val="006F23AF"/>
    <w:rsid w:val="006F2D8C"/>
    <w:rsid w:val="006F6F20"/>
    <w:rsid w:val="006F79A7"/>
    <w:rsid w:val="006F7A4C"/>
    <w:rsid w:val="0070049D"/>
    <w:rsid w:val="007016E4"/>
    <w:rsid w:val="00701918"/>
    <w:rsid w:val="00703A81"/>
    <w:rsid w:val="00706FCE"/>
    <w:rsid w:val="00711E01"/>
    <w:rsid w:val="00712977"/>
    <w:rsid w:val="0071322E"/>
    <w:rsid w:val="00716D4F"/>
    <w:rsid w:val="007205EA"/>
    <w:rsid w:val="007210C9"/>
    <w:rsid w:val="00722C51"/>
    <w:rsid w:val="007263FD"/>
    <w:rsid w:val="00726D3E"/>
    <w:rsid w:val="007275F4"/>
    <w:rsid w:val="007301F3"/>
    <w:rsid w:val="00731C46"/>
    <w:rsid w:val="0073238C"/>
    <w:rsid w:val="007327BB"/>
    <w:rsid w:val="00734374"/>
    <w:rsid w:val="007355E3"/>
    <w:rsid w:val="00737716"/>
    <w:rsid w:val="00740414"/>
    <w:rsid w:val="00740D29"/>
    <w:rsid w:val="00742B80"/>
    <w:rsid w:val="00742C19"/>
    <w:rsid w:val="0074349F"/>
    <w:rsid w:val="00743816"/>
    <w:rsid w:val="0074497D"/>
    <w:rsid w:val="007460F4"/>
    <w:rsid w:val="0074623A"/>
    <w:rsid w:val="00747314"/>
    <w:rsid w:val="00751296"/>
    <w:rsid w:val="00751BA0"/>
    <w:rsid w:val="00753FFC"/>
    <w:rsid w:val="0075425D"/>
    <w:rsid w:val="00754D2B"/>
    <w:rsid w:val="00761894"/>
    <w:rsid w:val="00761D3D"/>
    <w:rsid w:val="0076202B"/>
    <w:rsid w:val="0076277F"/>
    <w:rsid w:val="007629FD"/>
    <w:rsid w:val="00762BC3"/>
    <w:rsid w:val="0076529E"/>
    <w:rsid w:val="00766911"/>
    <w:rsid w:val="00766A0A"/>
    <w:rsid w:val="007706FE"/>
    <w:rsid w:val="00771A54"/>
    <w:rsid w:val="007722C3"/>
    <w:rsid w:val="00776B6D"/>
    <w:rsid w:val="00777586"/>
    <w:rsid w:val="007807AA"/>
    <w:rsid w:val="00780D80"/>
    <w:rsid w:val="00782592"/>
    <w:rsid w:val="007855A0"/>
    <w:rsid w:val="00785B79"/>
    <w:rsid w:val="007860A1"/>
    <w:rsid w:val="00787ACB"/>
    <w:rsid w:val="00790E8D"/>
    <w:rsid w:val="007914BB"/>
    <w:rsid w:val="00791AFD"/>
    <w:rsid w:val="0079229F"/>
    <w:rsid w:val="0079284A"/>
    <w:rsid w:val="00792928"/>
    <w:rsid w:val="007929B1"/>
    <w:rsid w:val="007929F7"/>
    <w:rsid w:val="00792D16"/>
    <w:rsid w:val="00795645"/>
    <w:rsid w:val="00795ADE"/>
    <w:rsid w:val="0079763C"/>
    <w:rsid w:val="007A1912"/>
    <w:rsid w:val="007A1A1D"/>
    <w:rsid w:val="007A49AE"/>
    <w:rsid w:val="007A62BD"/>
    <w:rsid w:val="007A71A8"/>
    <w:rsid w:val="007A7769"/>
    <w:rsid w:val="007B00E7"/>
    <w:rsid w:val="007B1735"/>
    <w:rsid w:val="007B1E60"/>
    <w:rsid w:val="007B5308"/>
    <w:rsid w:val="007B5CDB"/>
    <w:rsid w:val="007B68D5"/>
    <w:rsid w:val="007B6A90"/>
    <w:rsid w:val="007B7685"/>
    <w:rsid w:val="007C05B5"/>
    <w:rsid w:val="007C28DD"/>
    <w:rsid w:val="007C3D8A"/>
    <w:rsid w:val="007C447B"/>
    <w:rsid w:val="007C4B36"/>
    <w:rsid w:val="007C648C"/>
    <w:rsid w:val="007C7289"/>
    <w:rsid w:val="007C7D3F"/>
    <w:rsid w:val="007D0BAE"/>
    <w:rsid w:val="007D1E5B"/>
    <w:rsid w:val="007D647C"/>
    <w:rsid w:val="007D659C"/>
    <w:rsid w:val="007D678C"/>
    <w:rsid w:val="007D6C8A"/>
    <w:rsid w:val="007D7F03"/>
    <w:rsid w:val="007E0369"/>
    <w:rsid w:val="007E22CD"/>
    <w:rsid w:val="007E3B54"/>
    <w:rsid w:val="007E47FE"/>
    <w:rsid w:val="007E5462"/>
    <w:rsid w:val="007E62B1"/>
    <w:rsid w:val="007E6F50"/>
    <w:rsid w:val="007E75D4"/>
    <w:rsid w:val="007E7C1B"/>
    <w:rsid w:val="007F1B2A"/>
    <w:rsid w:val="007F34CD"/>
    <w:rsid w:val="007F52D6"/>
    <w:rsid w:val="007F560E"/>
    <w:rsid w:val="007F7C87"/>
    <w:rsid w:val="00800086"/>
    <w:rsid w:val="00800433"/>
    <w:rsid w:val="0080388A"/>
    <w:rsid w:val="008041B8"/>
    <w:rsid w:val="00805106"/>
    <w:rsid w:val="00806197"/>
    <w:rsid w:val="008063A1"/>
    <w:rsid w:val="008065B4"/>
    <w:rsid w:val="00810D5A"/>
    <w:rsid w:val="00810E31"/>
    <w:rsid w:val="008111E9"/>
    <w:rsid w:val="00811706"/>
    <w:rsid w:val="00813666"/>
    <w:rsid w:val="00814B94"/>
    <w:rsid w:val="008163D6"/>
    <w:rsid w:val="00816605"/>
    <w:rsid w:val="00817EBE"/>
    <w:rsid w:val="008214A1"/>
    <w:rsid w:val="008225C3"/>
    <w:rsid w:val="00823E29"/>
    <w:rsid w:val="008244A2"/>
    <w:rsid w:val="00824AA1"/>
    <w:rsid w:val="00825673"/>
    <w:rsid w:val="00825C7B"/>
    <w:rsid w:val="0082677A"/>
    <w:rsid w:val="00826A94"/>
    <w:rsid w:val="0083200D"/>
    <w:rsid w:val="00832434"/>
    <w:rsid w:val="0083543C"/>
    <w:rsid w:val="00835749"/>
    <w:rsid w:val="00836805"/>
    <w:rsid w:val="00836C75"/>
    <w:rsid w:val="00837300"/>
    <w:rsid w:val="008374E2"/>
    <w:rsid w:val="00840D41"/>
    <w:rsid w:val="0084272E"/>
    <w:rsid w:val="00845E16"/>
    <w:rsid w:val="00846AD5"/>
    <w:rsid w:val="00846ECE"/>
    <w:rsid w:val="008506CF"/>
    <w:rsid w:val="00851163"/>
    <w:rsid w:val="0085356C"/>
    <w:rsid w:val="00855BF4"/>
    <w:rsid w:val="00856AE2"/>
    <w:rsid w:val="00862659"/>
    <w:rsid w:val="0086320E"/>
    <w:rsid w:val="00863368"/>
    <w:rsid w:val="00863DCC"/>
    <w:rsid w:val="00863FA0"/>
    <w:rsid w:val="00865640"/>
    <w:rsid w:val="00865F94"/>
    <w:rsid w:val="00870E1F"/>
    <w:rsid w:val="00870FD3"/>
    <w:rsid w:val="008712A3"/>
    <w:rsid w:val="00871406"/>
    <w:rsid w:val="0087369D"/>
    <w:rsid w:val="008745E1"/>
    <w:rsid w:val="00874B6D"/>
    <w:rsid w:val="00875035"/>
    <w:rsid w:val="008774E2"/>
    <w:rsid w:val="00877D3F"/>
    <w:rsid w:val="008805F8"/>
    <w:rsid w:val="00881DA5"/>
    <w:rsid w:val="0088202E"/>
    <w:rsid w:val="008832E9"/>
    <w:rsid w:val="008858BA"/>
    <w:rsid w:val="00887014"/>
    <w:rsid w:val="00887A27"/>
    <w:rsid w:val="00887EA0"/>
    <w:rsid w:val="00891EE5"/>
    <w:rsid w:val="008936C0"/>
    <w:rsid w:val="008966B4"/>
    <w:rsid w:val="00897B78"/>
    <w:rsid w:val="008A146D"/>
    <w:rsid w:val="008A266F"/>
    <w:rsid w:val="008A341B"/>
    <w:rsid w:val="008A4114"/>
    <w:rsid w:val="008A45A9"/>
    <w:rsid w:val="008A7395"/>
    <w:rsid w:val="008B3BE5"/>
    <w:rsid w:val="008B4F7D"/>
    <w:rsid w:val="008B57EB"/>
    <w:rsid w:val="008B5A90"/>
    <w:rsid w:val="008B6555"/>
    <w:rsid w:val="008B70F4"/>
    <w:rsid w:val="008C2C22"/>
    <w:rsid w:val="008C41FB"/>
    <w:rsid w:val="008C45FF"/>
    <w:rsid w:val="008D03AA"/>
    <w:rsid w:val="008D15D9"/>
    <w:rsid w:val="008D1A25"/>
    <w:rsid w:val="008D1C98"/>
    <w:rsid w:val="008D26AA"/>
    <w:rsid w:val="008D358D"/>
    <w:rsid w:val="008D6563"/>
    <w:rsid w:val="008D7BBC"/>
    <w:rsid w:val="008E1E0C"/>
    <w:rsid w:val="008E260F"/>
    <w:rsid w:val="008E2DD5"/>
    <w:rsid w:val="008E3217"/>
    <w:rsid w:val="008F0877"/>
    <w:rsid w:val="008F0931"/>
    <w:rsid w:val="008F2665"/>
    <w:rsid w:val="008F3398"/>
    <w:rsid w:val="008F74FA"/>
    <w:rsid w:val="009003EA"/>
    <w:rsid w:val="00901B13"/>
    <w:rsid w:val="00902130"/>
    <w:rsid w:val="0090227B"/>
    <w:rsid w:val="00902F5C"/>
    <w:rsid w:val="009036D3"/>
    <w:rsid w:val="00907946"/>
    <w:rsid w:val="0091164A"/>
    <w:rsid w:val="00914739"/>
    <w:rsid w:val="00914889"/>
    <w:rsid w:val="00915915"/>
    <w:rsid w:val="00915D7C"/>
    <w:rsid w:val="00917D4D"/>
    <w:rsid w:val="00920056"/>
    <w:rsid w:val="00920817"/>
    <w:rsid w:val="00920D4C"/>
    <w:rsid w:val="00921A24"/>
    <w:rsid w:val="00921CAB"/>
    <w:rsid w:val="0092260C"/>
    <w:rsid w:val="009234B6"/>
    <w:rsid w:val="00924230"/>
    <w:rsid w:val="0092590D"/>
    <w:rsid w:val="0092627C"/>
    <w:rsid w:val="00926711"/>
    <w:rsid w:val="00926F54"/>
    <w:rsid w:val="00927ABF"/>
    <w:rsid w:val="00927FC2"/>
    <w:rsid w:val="009304CD"/>
    <w:rsid w:val="00931CA8"/>
    <w:rsid w:val="00931EB6"/>
    <w:rsid w:val="00932593"/>
    <w:rsid w:val="00933DCB"/>
    <w:rsid w:val="00935357"/>
    <w:rsid w:val="009355CD"/>
    <w:rsid w:val="0093615D"/>
    <w:rsid w:val="00937018"/>
    <w:rsid w:val="00940421"/>
    <w:rsid w:val="00940F04"/>
    <w:rsid w:val="00941426"/>
    <w:rsid w:val="00941ABC"/>
    <w:rsid w:val="00944544"/>
    <w:rsid w:val="00945E85"/>
    <w:rsid w:val="00950961"/>
    <w:rsid w:val="00952414"/>
    <w:rsid w:val="00952516"/>
    <w:rsid w:val="00952C57"/>
    <w:rsid w:val="00952CC6"/>
    <w:rsid w:val="00954AE5"/>
    <w:rsid w:val="00957CBA"/>
    <w:rsid w:val="00961734"/>
    <w:rsid w:val="00961FD9"/>
    <w:rsid w:val="00963F7A"/>
    <w:rsid w:val="009658F1"/>
    <w:rsid w:val="00971295"/>
    <w:rsid w:val="00971AC9"/>
    <w:rsid w:val="00971F45"/>
    <w:rsid w:val="009728B4"/>
    <w:rsid w:val="00973118"/>
    <w:rsid w:val="0097343E"/>
    <w:rsid w:val="00975A18"/>
    <w:rsid w:val="00977BD3"/>
    <w:rsid w:val="00980894"/>
    <w:rsid w:val="00981825"/>
    <w:rsid w:val="00982682"/>
    <w:rsid w:val="00982E82"/>
    <w:rsid w:val="00984153"/>
    <w:rsid w:val="0098454C"/>
    <w:rsid w:val="009875B0"/>
    <w:rsid w:val="0098784E"/>
    <w:rsid w:val="00987CFB"/>
    <w:rsid w:val="00987D63"/>
    <w:rsid w:val="009901CE"/>
    <w:rsid w:val="009919E5"/>
    <w:rsid w:val="0099410D"/>
    <w:rsid w:val="0099695A"/>
    <w:rsid w:val="009A0063"/>
    <w:rsid w:val="009A02D3"/>
    <w:rsid w:val="009A3DBC"/>
    <w:rsid w:val="009A4F9D"/>
    <w:rsid w:val="009A5584"/>
    <w:rsid w:val="009A7852"/>
    <w:rsid w:val="009B1600"/>
    <w:rsid w:val="009B5899"/>
    <w:rsid w:val="009B7A18"/>
    <w:rsid w:val="009C272A"/>
    <w:rsid w:val="009C2789"/>
    <w:rsid w:val="009C33E7"/>
    <w:rsid w:val="009C40EB"/>
    <w:rsid w:val="009C49CC"/>
    <w:rsid w:val="009C5770"/>
    <w:rsid w:val="009C5C11"/>
    <w:rsid w:val="009C5C9C"/>
    <w:rsid w:val="009D0226"/>
    <w:rsid w:val="009D0504"/>
    <w:rsid w:val="009D28B2"/>
    <w:rsid w:val="009D3C47"/>
    <w:rsid w:val="009D4E24"/>
    <w:rsid w:val="009D52FB"/>
    <w:rsid w:val="009D6E0E"/>
    <w:rsid w:val="009D7AC1"/>
    <w:rsid w:val="009E0C95"/>
    <w:rsid w:val="009E1200"/>
    <w:rsid w:val="009E24FC"/>
    <w:rsid w:val="009E5EFB"/>
    <w:rsid w:val="009E70B5"/>
    <w:rsid w:val="009F0C9D"/>
    <w:rsid w:val="009F1620"/>
    <w:rsid w:val="009F29BE"/>
    <w:rsid w:val="009F5C2D"/>
    <w:rsid w:val="00A03533"/>
    <w:rsid w:val="00A06803"/>
    <w:rsid w:val="00A07513"/>
    <w:rsid w:val="00A118AA"/>
    <w:rsid w:val="00A1281F"/>
    <w:rsid w:val="00A1356B"/>
    <w:rsid w:val="00A15102"/>
    <w:rsid w:val="00A1512E"/>
    <w:rsid w:val="00A205D4"/>
    <w:rsid w:val="00A207AA"/>
    <w:rsid w:val="00A20EC2"/>
    <w:rsid w:val="00A21078"/>
    <w:rsid w:val="00A2116A"/>
    <w:rsid w:val="00A21431"/>
    <w:rsid w:val="00A21472"/>
    <w:rsid w:val="00A2343A"/>
    <w:rsid w:val="00A23871"/>
    <w:rsid w:val="00A24669"/>
    <w:rsid w:val="00A252E7"/>
    <w:rsid w:val="00A2530D"/>
    <w:rsid w:val="00A25E7A"/>
    <w:rsid w:val="00A27DC8"/>
    <w:rsid w:val="00A33D62"/>
    <w:rsid w:val="00A3597E"/>
    <w:rsid w:val="00A37E65"/>
    <w:rsid w:val="00A40BD8"/>
    <w:rsid w:val="00A42563"/>
    <w:rsid w:val="00A42AD4"/>
    <w:rsid w:val="00A43452"/>
    <w:rsid w:val="00A43A0C"/>
    <w:rsid w:val="00A43AE4"/>
    <w:rsid w:val="00A44373"/>
    <w:rsid w:val="00A4502E"/>
    <w:rsid w:val="00A451BD"/>
    <w:rsid w:val="00A4681A"/>
    <w:rsid w:val="00A46F14"/>
    <w:rsid w:val="00A46FC2"/>
    <w:rsid w:val="00A47451"/>
    <w:rsid w:val="00A47C1A"/>
    <w:rsid w:val="00A47E50"/>
    <w:rsid w:val="00A50421"/>
    <w:rsid w:val="00A54042"/>
    <w:rsid w:val="00A54DB4"/>
    <w:rsid w:val="00A550AC"/>
    <w:rsid w:val="00A55216"/>
    <w:rsid w:val="00A555DA"/>
    <w:rsid w:val="00A55D7E"/>
    <w:rsid w:val="00A57DC6"/>
    <w:rsid w:val="00A57ECB"/>
    <w:rsid w:val="00A60085"/>
    <w:rsid w:val="00A60C0A"/>
    <w:rsid w:val="00A62080"/>
    <w:rsid w:val="00A62179"/>
    <w:rsid w:val="00A636DE"/>
    <w:rsid w:val="00A63B6B"/>
    <w:rsid w:val="00A64F04"/>
    <w:rsid w:val="00A65086"/>
    <w:rsid w:val="00A6518A"/>
    <w:rsid w:val="00A657A8"/>
    <w:rsid w:val="00A67ED9"/>
    <w:rsid w:val="00A708E7"/>
    <w:rsid w:val="00A70A34"/>
    <w:rsid w:val="00A71ECB"/>
    <w:rsid w:val="00A72701"/>
    <w:rsid w:val="00A741F7"/>
    <w:rsid w:val="00A751CF"/>
    <w:rsid w:val="00A75CF7"/>
    <w:rsid w:val="00A760EE"/>
    <w:rsid w:val="00A764E8"/>
    <w:rsid w:val="00A77080"/>
    <w:rsid w:val="00A80299"/>
    <w:rsid w:val="00A808B1"/>
    <w:rsid w:val="00A82E60"/>
    <w:rsid w:val="00A85A14"/>
    <w:rsid w:val="00A8609E"/>
    <w:rsid w:val="00A8682C"/>
    <w:rsid w:val="00A90E86"/>
    <w:rsid w:val="00A915C2"/>
    <w:rsid w:val="00A91D07"/>
    <w:rsid w:val="00A93512"/>
    <w:rsid w:val="00A93A58"/>
    <w:rsid w:val="00A93E50"/>
    <w:rsid w:val="00A94E30"/>
    <w:rsid w:val="00A957C2"/>
    <w:rsid w:val="00A97376"/>
    <w:rsid w:val="00A97F23"/>
    <w:rsid w:val="00A97F49"/>
    <w:rsid w:val="00AA03ED"/>
    <w:rsid w:val="00AA0A5E"/>
    <w:rsid w:val="00AA47BE"/>
    <w:rsid w:val="00AA5296"/>
    <w:rsid w:val="00AA5BED"/>
    <w:rsid w:val="00AB09D7"/>
    <w:rsid w:val="00AB347B"/>
    <w:rsid w:val="00AB5788"/>
    <w:rsid w:val="00AB5907"/>
    <w:rsid w:val="00AC0876"/>
    <w:rsid w:val="00AC2E99"/>
    <w:rsid w:val="00AC33D9"/>
    <w:rsid w:val="00AC3EF5"/>
    <w:rsid w:val="00AC5B26"/>
    <w:rsid w:val="00AC6078"/>
    <w:rsid w:val="00AC6BF9"/>
    <w:rsid w:val="00AC7CD1"/>
    <w:rsid w:val="00AD2DE5"/>
    <w:rsid w:val="00AD2E84"/>
    <w:rsid w:val="00AD4633"/>
    <w:rsid w:val="00AD4D0B"/>
    <w:rsid w:val="00AD79E3"/>
    <w:rsid w:val="00AE1A01"/>
    <w:rsid w:val="00AE3B07"/>
    <w:rsid w:val="00AE3F87"/>
    <w:rsid w:val="00AE4F3F"/>
    <w:rsid w:val="00AE6553"/>
    <w:rsid w:val="00AE7566"/>
    <w:rsid w:val="00AF22EE"/>
    <w:rsid w:val="00AF338F"/>
    <w:rsid w:val="00AF6704"/>
    <w:rsid w:val="00AF6F39"/>
    <w:rsid w:val="00AF790F"/>
    <w:rsid w:val="00AF7F2C"/>
    <w:rsid w:val="00B00426"/>
    <w:rsid w:val="00B00985"/>
    <w:rsid w:val="00B01215"/>
    <w:rsid w:val="00B0245B"/>
    <w:rsid w:val="00B02654"/>
    <w:rsid w:val="00B0646B"/>
    <w:rsid w:val="00B06B29"/>
    <w:rsid w:val="00B07A32"/>
    <w:rsid w:val="00B108F4"/>
    <w:rsid w:val="00B10D8D"/>
    <w:rsid w:val="00B112DB"/>
    <w:rsid w:val="00B11FD5"/>
    <w:rsid w:val="00B123CE"/>
    <w:rsid w:val="00B12644"/>
    <w:rsid w:val="00B126C4"/>
    <w:rsid w:val="00B12F88"/>
    <w:rsid w:val="00B14832"/>
    <w:rsid w:val="00B1526B"/>
    <w:rsid w:val="00B153F0"/>
    <w:rsid w:val="00B15632"/>
    <w:rsid w:val="00B16451"/>
    <w:rsid w:val="00B16D43"/>
    <w:rsid w:val="00B175FF"/>
    <w:rsid w:val="00B20312"/>
    <w:rsid w:val="00B22FB3"/>
    <w:rsid w:val="00B24AD5"/>
    <w:rsid w:val="00B276E2"/>
    <w:rsid w:val="00B27AD8"/>
    <w:rsid w:val="00B31BEA"/>
    <w:rsid w:val="00B31CBC"/>
    <w:rsid w:val="00B31FED"/>
    <w:rsid w:val="00B33243"/>
    <w:rsid w:val="00B33467"/>
    <w:rsid w:val="00B3550B"/>
    <w:rsid w:val="00B36634"/>
    <w:rsid w:val="00B36ED0"/>
    <w:rsid w:val="00B372F3"/>
    <w:rsid w:val="00B404E7"/>
    <w:rsid w:val="00B43A25"/>
    <w:rsid w:val="00B43B27"/>
    <w:rsid w:val="00B443C4"/>
    <w:rsid w:val="00B50358"/>
    <w:rsid w:val="00B50AE1"/>
    <w:rsid w:val="00B50CC6"/>
    <w:rsid w:val="00B53018"/>
    <w:rsid w:val="00B57C44"/>
    <w:rsid w:val="00B61426"/>
    <w:rsid w:val="00B621D6"/>
    <w:rsid w:val="00B62287"/>
    <w:rsid w:val="00B62373"/>
    <w:rsid w:val="00B627C3"/>
    <w:rsid w:val="00B62A5B"/>
    <w:rsid w:val="00B65C07"/>
    <w:rsid w:val="00B65E5C"/>
    <w:rsid w:val="00B65F6C"/>
    <w:rsid w:val="00B66146"/>
    <w:rsid w:val="00B67AF0"/>
    <w:rsid w:val="00B7076D"/>
    <w:rsid w:val="00B70D41"/>
    <w:rsid w:val="00B7223B"/>
    <w:rsid w:val="00B72284"/>
    <w:rsid w:val="00B729F8"/>
    <w:rsid w:val="00B72A78"/>
    <w:rsid w:val="00B73888"/>
    <w:rsid w:val="00B763A4"/>
    <w:rsid w:val="00B76721"/>
    <w:rsid w:val="00B7736C"/>
    <w:rsid w:val="00B773B5"/>
    <w:rsid w:val="00B803DA"/>
    <w:rsid w:val="00B8205A"/>
    <w:rsid w:val="00B82087"/>
    <w:rsid w:val="00B82722"/>
    <w:rsid w:val="00B83B6D"/>
    <w:rsid w:val="00B83C78"/>
    <w:rsid w:val="00B8480C"/>
    <w:rsid w:val="00B84A77"/>
    <w:rsid w:val="00B85413"/>
    <w:rsid w:val="00B87422"/>
    <w:rsid w:val="00B9206A"/>
    <w:rsid w:val="00B92A18"/>
    <w:rsid w:val="00B93826"/>
    <w:rsid w:val="00B94548"/>
    <w:rsid w:val="00B94C55"/>
    <w:rsid w:val="00B955FB"/>
    <w:rsid w:val="00B95BA2"/>
    <w:rsid w:val="00B961FE"/>
    <w:rsid w:val="00BA15A6"/>
    <w:rsid w:val="00BA2432"/>
    <w:rsid w:val="00BA3048"/>
    <w:rsid w:val="00BA6588"/>
    <w:rsid w:val="00BA74DB"/>
    <w:rsid w:val="00BB095B"/>
    <w:rsid w:val="00BB0A49"/>
    <w:rsid w:val="00BB2A4E"/>
    <w:rsid w:val="00BB3021"/>
    <w:rsid w:val="00BB3976"/>
    <w:rsid w:val="00BB4073"/>
    <w:rsid w:val="00BB5C21"/>
    <w:rsid w:val="00BB6DDD"/>
    <w:rsid w:val="00BB7F27"/>
    <w:rsid w:val="00BC3734"/>
    <w:rsid w:val="00BC3971"/>
    <w:rsid w:val="00BC4EF9"/>
    <w:rsid w:val="00BC5A6D"/>
    <w:rsid w:val="00BD05EB"/>
    <w:rsid w:val="00BD1350"/>
    <w:rsid w:val="00BD3096"/>
    <w:rsid w:val="00BD336D"/>
    <w:rsid w:val="00BD3438"/>
    <w:rsid w:val="00BD476C"/>
    <w:rsid w:val="00BD5260"/>
    <w:rsid w:val="00BD618F"/>
    <w:rsid w:val="00BD7D19"/>
    <w:rsid w:val="00BE1FD6"/>
    <w:rsid w:val="00BE20CC"/>
    <w:rsid w:val="00BE2B73"/>
    <w:rsid w:val="00BE492D"/>
    <w:rsid w:val="00BE5EBB"/>
    <w:rsid w:val="00BE6193"/>
    <w:rsid w:val="00BE6927"/>
    <w:rsid w:val="00BE74CD"/>
    <w:rsid w:val="00BE76D6"/>
    <w:rsid w:val="00BF3842"/>
    <w:rsid w:val="00BF443B"/>
    <w:rsid w:val="00BF51EC"/>
    <w:rsid w:val="00BF6749"/>
    <w:rsid w:val="00C00854"/>
    <w:rsid w:val="00C022E5"/>
    <w:rsid w:val="00C043DA"/>
    <w:rsid w:val="00C0471A"/>
    <w:rsid w:val="00C057EB"/>
    <w:rsid w:val="00C059C8"/>
    <w:rsid w:val="00C07069"/>
    <w:rsid w:val="00C07509"/>
    <w:rsid w:val="00C10849"/>
    <w:rsid w:val="00C11342"/>
    <w:rsid w:val="00C11842"/>
    <w:rsid w:val="00C1211C"/>
    <w:rsid w:val="00C126D1"/>
    <w:rsid w:val="00C13A64"/>
    <w:rsid w:val="00C13EB1"/>
    <w:rsid w:val="00C13ED3"/>
    <w:rsid w:val="00C14832"/>
    <w:rsid w:val="00C1489A"/>
    <w:rsid w:val="00C148CE"/>
    <w:rsid w:val="00C1558E"/>
    <w:rsid w:val="00C16E2A"/>
    <w:rsid w:val="00C27AD0"/>
    <w:rsid w:val="00C30796"/>
    <w:rsid w:val="00C30CC9"/>
    <w:rsid w:val="00C32353"/>
    <w:rsid w:val="00C32D2C"/>
    <w:rsid w:val="00C32E62"/>
    <w:rsid w:val="00C33E11"/>
    <w:rsid w:val="00C35F57"/>
    <w:rsid w:val="00C43DD2"/>
    <w:rsid w:val="00C44C57"/>
    <w:rsid w:val="00C46A34"/>
    <w:rsid w:val="00C50FAD"/>
    <w:rsid w:val="00C51992"/>
    <w:rsid w:val="00C51F92"/>
    <w:rsid w:val="00C53C29"/>
    <w:rsid w:val="00C54359"/>
    <w:rsid w:val="00C55348"/>
    <w:rsid w:val="00C57121"/>
    <w:rsid w:val="00C605DB"/>
    <w:rsid w:val="00C609EE"/>
    <w:rsid w:val="00C622F0"/>
    <w:rsid w:val="00C62552"/>
    <w:rsid w:val="00C63C29"/>
    <w:rsid w:val="00C65046"/>
    <w:rsid w:val="00C669D8"/>
    <w:rsid w:val="00C66C8F"/>
    <w:rsid w:val="00C66CF6"/>
    <w:rsid w:val="00C671B1"/>
    <w:rsid w:val="00C701D5"/>
    <w:rsid w:val="00C708F8"/>
    <w:rsid w:val="00C7121B"/>
    <w:rsid w:val="00C7152A"/>
    <w:rsid w:val="00C719A3"/>
    <w:rsid w:val="00C71D23"/>
    <w:rsid w:val="00C72173"/>
    <w:rsid w:val="00C73FC0"/>
    <w:rsid w:val="00C74314"/>
    <w:rsid w:val="00C7456C"/>
    <w:rsid w:val="00C82394"/>
    <w:rsid w:val="00C83462"/>
    <w:rsid w:val="00C84F6F"/>
    <w:rsid w:val="00C85AA2"/>
    <w:rsid w:val="00C85D38"/>
    <w:rsid w:val="00C9176E"/>
    <w:rsid w:val="00C92FF3"/>
    <w:rsid w:val="00C94110"/>
    <w:rsid w:val="00C94C78"/>
    <w:rsid w:val="00C9578A"/>
    <w:rsid w:val="00C975CF"/>
    <w:rsid w:val="00C97DA9"/>
    <w:rsid w:val="00CA017D"/>
    <w:rsid w:val="00CA1DEB"/>
    <w:rsid w:val="00CA29B2"/>
    <w:rsid w:val="00CA2C72"/>
    <w:rsid w:val="00CA33A8"/>
    <w:rsid w:val="00CA502C"/>
    <w:rsid w:val="00CA61C4"/>
    <w:rsid w:val="00CA621B"/>
    <w:rsid w:val="00CA68CE"/>
    <w:rsid w:val="00CA707E"/>
    <w:rsid w:val="00CA7F38"/>
    <w:rsid w:val="00CB0DDD"/>
    <w:rsid w:val="00CB1BF0"/>
    <w:rsid w:val="00CB35EB"/>
    <w:rsid w:val="00CB5786"/>
    <w:rsid w:val="00CB5792"/>
    <w:rsid w:val="00CB72C0"/>
    <w:rsid w:val="00CC0F96"/>
    <w:rsid w:val="00CC0FBF"/>
    <w:rsid w:val="00CC1EC4"/>
    <w:rsid w:val="00CC27C2"/>
    <w:rsid w:val="00CC2EF4"/>
    <w:rsid w:val="00CC53EF"/>
    <w:rsid w:val="00CC68DB"/>
    <w:rsid w:val="00CC700C"/>
    <w:rsid w:val="00CD047B"/>
    <w:rsid w:val="00CD23E8"/>
    <w:rsid w:val="00CD2F65"/>
    <w:rsid w:val="00CD475D"/>
    <w:rsid w:val="00CD71B0"/>
    <w:rsid w:val="00CD78F5"/>
    <w:rsid w:val="00CE07B0"/>
    <w:rsid w:val="00CE28EF"/>
    <w:rsid w:val="00CE2DB1"/>
    <w:rsid w:val="00CE726C"/>
    <w:rsid w:val="00CE7952"/>
    <w:rsid w:val="00CF0D7E"/>
    <w:rsid w:val="00CF24E3"/>
    <w:rsid w:val="00CF35AE"/>
    <w:rsid w:val="00CF5919"/>
    <w:rsid w:val="00D034E2"/>
    <w:rsid w:val="00D03931"/>
    <w:rsid w:val="00D04C80"/>
    <w:rsid w:val="00D04CA5"/>
    <w:rsid w:val="00D0502C"/>
    <w:rsid w:val="00D05172"/>
    <w:rsid w:val="00D055E1"/>
    <w:rsid w:val="00D07EBA"/>
    <w:rsid w:val="00D11878"/>
    <w:rsid w:val="00D11EEF"/>
    <w:rsid w:val="00D124FD"/>
    <w:rsid w:val="00D139AF"/>
    <w:rsid w:val="00D14D8C"/>
    <w:rsid w:val="00D154E5"/>
    <w:rsid w:val="00D15963"/>
    <w:rsid w:val="00D15F96"/>
    <w:rsid w:val="00D160A6"/>
    <w:rsid w:val="00D17B8F"/>
    <w:rsid w:val="00D17D58"/>
    <w:rsid w:val="00D17F55"/>
    <w:rsid w:val="00D2353E"/>
    <w:rsid w:val="00D2389F"/>
    <w:rsid w:val="00D23F3E"/>
    <w:rsid w:val="00D24F3F"/>
    <w:rsid w:val="00D25C2F"/>
    <w:rsid w:val="00D2693F"/>
    <w:rsid w:val="00D274CA"/>
    <w:rsid w:val="00D27799"/>
    <w:rsid w:val="00D36860"/>
    <w:rsid w:val="00D4017A"/>
    <w:rsid w:val="00D403A9"/>
    <w:rsid w:val="00D405A2"/>
    <w:rsid w:val="00D40EBC"/>
    <w:rsid w:val="00D4152D"/>
    <w:rsid w:val="00D44948"/>
    <w:rsid w:val="00D44AE9"/>
    <w:rsid w:val="00D44BF1"/>
    <w:rsid w:val="00D44E84"/>
    <w:rsid w:val="00D45065"/>
    <w:rsid w:val="00D452E8"/>
    <w:rsid w:val="00D46097"/>
    <w:rsid w:val="00D47140"/>
    <w:rsid w:val="00D4758F"/>
    <w:rsid w:val="00D5057F"/>
    <w:rsid w:val="00D50795"/>
    <w:rsid w:val="00D5153E"/>
    <w:rsid w:val="00D52DCE"/>
    <w:rsid w:val="00D54B06"/>
    <w:rsid w:val="00D55165"/>
    <w:rsid w:val="00D557C3"/>
    <w:rsid w:val="00D570CF"/>
    <w:rsid w:val="00D573AD"/>
    <w:rsid w:val="00D57454"/>
    <w:rsid w:val="00D57515"/>
    <w:rsid w:val="00D602EE"/>
    <w:rsid w:val="00D60ADE"/>
    <w:rsid w:val="00D643DD"/>
    <w:rsid w:val="00D64722"/>
    <w:rsid w:val="00D64F0D"/>
    <w:rsid w:val="00D66916"/>
    <w:rsid w:val="00D708B4"/>
    <w:rsid w:val="00D72717"/>
    <w:rsid w:val="00D72FF5"/>
    <w:rsid w:val="00D740FF"/>
    <w:rsid w:val="00D75D3C"/>
    <w:rsid w:val="00D7611C"/>
    <w:rsid w:val="00D76FE2"/>
    <w:rsid w:val="00D773B9"/>
    <w:rsid w:val="00D7776E"/>
    <w:rsid w:val="00D81A7F"/>
    <w:rsid w:val="00D83A0C"/>
    <w:rsid w:val="00D8560E"/>
    <w:rsid w:val="00D856BB"/>
    <w:rsid w:val="00D86942"/>
    <w:rsid w:val="00D90C68"/>
    <w:rsid w:val="00D915D2"/>
    <w:rsid w:val="00D931A8"/>
    <w:rsid w:val="00D957F1"/>
    <w:rsid w:val="00D96847"/>
    <w:rsid w:val="00D97819"/>
    <w:rsid w:val="00DA03C4"/>
    <w:rsid w:val="00DA2717"/>
    <w:rsid w:val="00DA390C"/>
    <w:rsid w:val="00DA4338"/>
    <w:rsid w:val="00DA49D5"/>
    <w:rsid w:val="00DA4AE2"/>
    <w:rsid w:val="00DB0DB2"/>
    <w:rsid w:val="00DB1B14"/>
    <w:rsid w:val="00DB1C96"/>
    <w:rsid w:val="00DB1D1E"/>
    <w:rsid w:val="00DB2D64"/>
    <w:rsid w:val="00DB3174"/>
    <w:rsid w:val="00DB3AEC"/>
    <w:rsid w:val="00DB41FC"/>
    <w:rsid w:val="00DB4219"/>
    <w:rsid w:val="00DB5369"/>
    <w:rsid w:val="00DC0BF8"/>
    <w:rsid w:val="00DC0FD5"/>
    <w:rsid w:val="00DC163E"/>
    <w:rsid w:val="00DC29C9"/>
    <w:rsid w:val="00DC2B0F"/>
    <w:rsid w:val="00DC3E6D"/>
    <w:rsid w:val="00DC47A5"/>
    <w:rsid w:val="00DC54FE"/>
    <w:rsid w:val="00DD0366"/>
    <w:rsid w:val="00DD0F31"/>
    <w:rsid w:val="00DD574B"/>
    <w:rsid w:val="00DD5E32"/>
    <w:rsid w:val="00DD623F"/>
    <w:rsid w:val="00DE0464"/>
    <w:rsid w:val="00DE0A36"/>
    <w:rsid w:val="00DE0DF2"/>
    <w:rsid w:val="00DE4EE9"/>
    <w:rsid w:val="00DE4F8F"/>
    <w:rsid w:val="00DF0EBE"/>
    <w:rsid w:val="00DF1D24"/>
    <w:rsid w:val="00DF2960"/>
    <w:rsid w:val="00DF5493"/>
    <w:rsid w:val="00DF55D5"/>
    <w:rsid w:val="00DF6920"/>
    <w:rsid w:val="00DF6978"/>
    <w:rsid w:val="00DF6D3F"/>
    <w:rsid w:val="00E004BE"/>
    <w:rsid w:val="00E00E26"/>
    <w:rsid w:val="00E01939"/>
    <w:rsid w:val="00E01F79"/>
    <w:rsid w:val="00E0232D"/>
    <w:rsid w:val="00E02B1A"/>
    <w:rsid w:val="00E03329"/>
    <w:rsid w:val="00E074E2"/>
    <w:rsid w:val="00E1034E"/>
    <w:rsid w:val="00E12F47"/>
    <w:rsid w:val="00E13AB8"/>
    <w:rsid w:val="00E13AC0"/>
    <w:rsid w:val="00E15E3D"/>
    <w:rsid w:val="00E17476"/>
    <w:rsid w:val="00E176EB"/>
    <w:rsid w:val="00E2026A"/>
    <w:rsid w:val="00E20383"/>
    <w:rsid w:val="00E2114A"/>
    <w:rsid w:val="00E21473"/>
    <w:rsid w:val="00E21793"/>
    <w:rsid w:val="00E21B47"/>
    <w:rsid w:val="00E22983"/>
    <w:rsid w:val="00E22D90"/>
    <w:rsid w:val="00E230EF"/>
    <w:rsid w:val="00E234CD"/>
    <w:rsid w:val="00E2498D"/>
    <w:rsid w:val="00E24D1B"/>
    <w:rsid w:val="00E24F4A"/>
    <w:rsid w:val="00E25B54"/>
    <w:rsid w:val="00E26752"/>
    <w:rsid w:val="00E27A7D"/>
    <w:rsid w:val="00E27F7B"/>
    <w:rsid w:val="00E30F08"/>
    <w:rsid w:val="00E31501"/>
    <w:rsid w:val="00E335C2"/>
    <w:rsid w:val="00E3480F"/>
    <w:rsid w:val="00E35185"/>
    <w:rsid w:val="00E3520E"/>
    <w:rsid w:val="00E35A27"/>
    <w:rsid w:val="00E36263"/>
    <w:rsid w:val="00E42BAB"/>
    <w:rsid w:val="00E45AF5"/>
    <w:rsid w:val="00E45C54"/>
    <w:rsid w:val="00E45F15"/>
    <w:rsid w:val="00E517EB"/>
    <w:rsid w:val="00E529A0"/>
    <w:rsid w:val="00E52DAE"/>
    <w:rsid w:val="00E5490B"/>
    <w:rsid w:val="00E600D3"/>
    <w:rsid w:val="00E602BC"/>
    <w:rsid w:val="00E60388"/>
    <w:rsid w:val="00E60669"/>
    <w:rsid w:val="00E615E5"/>
    <w:rsid w:val="00E63F81"/>
    <w:rsid w:val="00E657AB"/>
    <w:rsid w:val="00E65E1D"/>
    <w:rsid w:val="00E6639B"/>
    <w:rsid w:val="00E67F16"/>
    <w:rsid w:val="00E71035"/>
    <w:rsid w:val="00E71AAC"/>
    <w:rsid w:val="00E71C38"/>
    <w:rsid w:val="00E720BA"/>
    <w:rsid w:val="00E7215C"/>
    <w:rsid w:val="00E77326"/>
    <w:rsid w:val="00E8184F"/>
    <w:rsid w:val="00E86655"/>
    <w:rsid w:val="00E866ED"/>
    <w:rsid w:val="00E867E2"/>
    <w:rsid w:val="00E90750"/>
    <w:rsid w:val="00E907C0"/>
    <w:rsid w:val="00E91EE4"/>
    <w:rsid w:val="00E91FAD"/>
    <w:rsid w:val="00E93A58"/>
    <w:rsid w:val="00E94FAD"/>
    <w:rsid w:val="00E96AA8"/>
    <w:rsid w:val="00E977C4"/>
    <w:rsid w:val="00EA0F28"/>
    <w:rsid w:val="00EA1C83"/>
    <w:rsid w:val="00EA3AD9"/>
    <w:rsid w:val="00EA41C3"/>
    <w:rsid w:val="00EA4E74"/>
    <w:rsid w:val="00EA5728"/>
    <w:rsid w:val="00EA5751"/>
    <w:rsid w:val="00EA63A5"/>
    <w:rsid w:val="00EA6E25"/>
    <w:rsid w:val="00EA736A"/>
    <w:rsid w:val="00EB268D"/>
    <w:rsid w:val="00EB282F"/>
    <w:rsid w:val="00EB2930"/>
    <w:rsid w:val="00EB2B15"/>
    <w:rsid w:val="00EB2CD4"/>
    <w:rsid w:val="00EB40DB"/>
    <w:rsid w:val="00EB452A"/>
    <w:rsid w:val="00EB541C"/>
    <w:rsid w:val="00EC34DE"/>
    <w:rsid w:val="00EC4C61"/>
    <w:rsid w:val="00EC6184"/>
    <w:rsid w:val="00ED050D"/>
    <w:rsid w:val="00ED16BD"/>
    <w:rsid w:val="00ED33C6"/>
    <w:rsid w:val="00ED464A"/>
    <w:rsid w:val="00ED4C01"/>
    <w:rsid w:val="00ED4EBA"/>
    <w:rsid w:val="00ED5710"/>
    <w:rsid w:val="00ED586A"/>
    <w:rsid w:val="00ED6756"/>
    <w:rsid w:val="00ED6CF6"/>
    <w:rsid w:val="00ED7F41"/>
    <w:rsid w:val="00EE02F6"/>
    <w:rsid w:val="00EE0F91"/>
    <w:rsid w:val="00EE1A28"/>
    <w:rsid w:val="00EE1D83"/>
    <w:rsid w:val="00EE22A9"/>
    <w:rsid w:val="00EE7D3A"/>
    <w:rsid w:val="00EF0466"/>
    <w:rsid w:val="00EF1787"/>
    <w:rsid w:val="00EF2444"/>
    <w:rsid w:val="00EF36AD"/>
    <w:rsid w:val="00EF70C2"/>
    <w:rsid w:val="00F02287"/>
    <w:rsid w:val="00F04121"/>
    <w:rsid w:val="00F05288"/>
    <w:rsid w:val="00F05E98"/>
    <w:rsid w:val="00F06B73"/>
    <w:rsid w:val="00F06E94"/>
    <w:rsid w:val="00F079C5"/>
    <w:rsid w:val="00F12972"/>
    <w:rsid w:val="00F13D36"/>
    <w:rsid w:val="00F15E73"/>
    <w:rsid w:val="00F163BC"/>
    <w:rsid w:val="00F16812"/>
    <w:rsid w:val="00F17A89"/>
    <w:rsid w:val="00F204A6"/>
    <w:rsid w:val="00F20A29"/>
    <w:rsid w:val="00F210AA"/>
    <w:rsid w:val="00F220D7"/>
    <w:rsid w:val="00F22175"/>
    <w:rsid w:val="00F23AFF"/>
    <w:rsid w:val="00F2688A"/>
    <w:rsid w:val="00F30341"/>
    <w:rsid w:val="00F31143"/>
    <w:rsid w:val="00F316F0"/>
    <w:rsid w:val="00F32183"/>
    <w:rsid w:val="00F323A5"/>
    <w:rsid w:val="00F32D6C"/>
    <w:rsid w:val="00F33865"/>
    <w:rsid w:val="00F34540"/>
    <w:rsid w:val="00F3473C"/>
    <w:rsid w:val="00F35F6E"/>
    <w:rsid w:val="00F369E7"/>
    <w:rsid w:val="00F36AF0"/>
    <w:rsid w:val="00F36B97"/>
    <w:rsid w:val="00F36E6F"/>
    <w:rsid w:val="00F3748A"/>
    <w:rsid w:val="00F37F56"/>
    <w:rsid w:val="00F37FE2"/>
    <w:rsid w:val="00F404B1"/>
    <w:rsid w:val="00F40F8F"/>
    <w:rsid w:val="00F4110E"/>
    <w:rsid w:val="00F41D99"/>
    <w:rsid w:val="00F4326E"/>
    <w:rsid w:val="00F4355F"/>
    <w:rsid w:val="00F43BD1"/>
    <w:rsid w:val="00F455F2"/>
    <w:rsid w:val="00F5159D"/>
    <w:rsid w:val="00F5330F"/>
    <w:rsid w:val="00F5368E"/>
    <w:rsid w:val="00F53E68"/>
    <w:rsid w:val="00F55655"/>
    <w:rsid w:val="00F55D64"/>
    <w:rsid w:val="00F5606D"/>
    <w:rsid w:val="00F562BA"/>
    <w:rsid w:val="00F56D98"/>
    <w:rsid w:val="00F57DF8"/>
    <w:rsid w:val="00F60A3B"/>
    <w:rsid w:val="00F62061"/>
    <w:rsid w:val="00F64A57"/>
    <w:rsid w:val="00F64F17"/>
    <w:rsid w:val="00F7081F"/>
    <w:rsid w:val="00F718EF"/>
    <w:rsid w:val="00F728AD"/>
    <w:rsid w:val="00F74DB8"/>
    <w:rsid w:val="00F75169"/>
    <w:rsid w:val="00F75D4F"/>
    <w:rsid w:val="00F7789F"/>
    <w:rsid w:val="00F80FDA"/>
    <w:rsid w:val="00F8238C"/>
    <w:rsid w:val="00F82F11"/>
    <w:rsid w:val="00F832ED"/>
    <w:rsid w:val="00F8617E"/>
    <w:rsid w:val="00F86B96"/>
    <w:rsid w:val="00F937A7"/>
    <w:rsid w:val="00F93F4A"/>
    <w:rsid w:val="00F941A2"/>
    <w:rsid w:val="00F94E45"/>
    <w:rsid w:val="00F95366"/>
    <w:rsid w:val="00F95BC2"/>
    <w:rsid w:val="00F976E0"/>
    <w:rsid w:val="00FA185F"/>
    <w:rsid w:val="00FA3C7E"/>
    <w:rsid w:val="00FA4CF0"/>
    <w:rsid w:val="00FA4FD1"/>
    <w:rsid w:val="00FA5721"/>
    <w:rsid w:val="00FA736E"/>
    <w:rsid w:val="00FA773A"/>
    <w:rsid w:val="00FA7D2F"/>
    <w:rsid w:val="00FB0200"/>
    <w:rsid w:val="00FB1A9F"/>
    <w:rsid w:val="00FB4628"/>
    <w:rsid w:val="00FB4CD0"/>
    <w:rsid w:val="00FB7CDB"/>
    <w:rsid w:val="00FC150F"/>
    <w:rsid w:val="00FC3276"/>
    <w:rsid w:val="00FC34CE"/>
    <w:rsid w:val="00FC3D88"/>
    <w:rsid w:val="00FC4A87"/>
    <w:rsid w:val="00FC7166"/>
    <w:rsid w:val="00FC77B7"/>
    <w:rsid w:val="00FC7E80"/>
    <w:rsid w:val="00FD1D8B"/>
    <w:rsid w:val="00FD3CA9"/>
    <w:rsid w:val="00FD4091"/>
    <w:rsid w:val="00FD58B2"/>
    <w:rsid w:val="00FD5ED8"/>
    <w:rsid w:val="00FD6D3C"/>
    <w:rsid w:val="00FE0EC9"/>
    <w:rsid w:val="00FE2327"/>
    <w:rsid w:val="00FE2428"/>
    <w:rsid w:val="00FE32AE"/>
    <w:rsid w:val="00FE3424"/>
    <w:rsid w:val="00FE420C"/>
    <w:rsid w:val="00FE4A3F"/>
    <w:rsid w:val="00FE4BDC"/>
    <w:rsid w:val="00FE4FD9"/>
    <w:rsid w:val="00FF098F"/>
    <w:rsid w:val="00FF1516"/>
    <w:rsid w:val="00FF1726"/>
    <w:rsid w:val="00FF19A8"/>
    <w:rsid w:val="00FF325D"/>
    <w:rsid w:val="00FF3C9F"/>
    <w:rsid w:val="00FF4F84"/>
    <w:rsid w:val="00FF5E4A"/>
    <w:rsid w:val="00FF6FC7"/>
    <w:rsid w:val="00FF7805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FA463"/>
  <w15:chartTrackingRefBased/>
  <w15:docId w15:val="{A968790E-4A1D-49D6-8276-844F790A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C38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2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26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26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264F"/>
    <w:rPr>
      <w:sz w:val="18"/>
      <w:szCs w:val="18"/>
    </w:rPr>
  </w:style>
  <w:style w:type="paragraph" w:styleId="a7">
    <w:name w:val="List Paragraph"/>
    <w:basedOn w:val="a"/>
    <w:uiPriority w:val="34"/>
    <w:qFormat/>
    <w:rsid w:val="003C264F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A07513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A07513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A07513"/>
  </w:style>
  <w:style w:type="paragraph" w:styleId="ab">
    <w:name w:val="annotation subject"/>
    <w:basedOn w:val="a9"/>
    <w:next w:val="a9"/>
    <w:link w:val="ac"/>
    <w:uiPriority w:val="99"/>
    <w:semiHidden/>
    <w:unhideWhenUsed/>
    <w:rsid w:val="00A07513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A07513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A07513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A07513"/>
    <w:rPr>
      <w:sz w:val="18"/>
      <w:szCs w:val="18"/>
    </w:rPr>
  </w:style>
  <w:style w:type="character" w:styleId="af">
    <w:name w:val="Strong"/>
    <w:basedOn w:val="a0"/>
    <w:uiPriority w:val="22"/>
    <w:qFormat/>
    <w:rsid w:val="00E25B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8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6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847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87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904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215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7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6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03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8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7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87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014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965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840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951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596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949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278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840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415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109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09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711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4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B5FF0-F3DE-4DBC-999B-04BB6BBC9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14372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Shengrong</dc:creator>
  <cp:keywords/>
  <dc:description/>
  <cp:lastModifiedBy>兰生荣</cp:lastModifiedBy>
  <cp:revision>1155</cp:revision>
  <dcterms:created xsi:type="dcterms:W3CDTF">2022-10-20T02:10:00Z</dcterms:created>
  <dcterms:modified xsi:type="dcterms:W3CDTF">2026-04-10T08:14:00Z</dcterms:modified>
</cp:coreProperties>
</file>