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56EB" w:rsidRDefault="00DC56EB">
      <w:pPr>
        <w:rPr>
          <w:rFonts w:hint="eastAsia"/>
        </w:rPr>
      </w:pPr>
    </w:p>
    <w:p w:rsidR="00672664" w:rsidRDefault="00672664">
      <w:r>
        <w:t>1. 20-80 </w:t>
      </w:r>
      <w:r>
        <w:t>的层面的动平衡</w:t>
      </w:r>
      <w:r>
        <w:br/>
      </w:r>
      <w:r>
        <w:br/>
      </w:r>
      <w:r>
        <w:t>动作</w:t>
      </w:r>
      <w:r>
        <w:t>1</w:t>
      </w:r>
      <w:r>
        <w:t>：定期动平衡</w:t>
      </w:r>
      <w:r>
        <w:t> -- 1</w:t>
      </w:r>
      <w:r>
        <w:t>年</w:t>
      </w:r>
      <w:r>
        <w:t>1</w:t>
      </w:r>
      <w:r>
        <w:t>次。在每年末，把偏离</w:t>
      </w:r>
      <w:r>
        <w:t>20-80</w:t>
      </w:r>
      <w:r>
        <w:t>的比例严格拉回到</w:t>
      </w:r>
      <w:r>
        <w:t>20:80</w:t>
      </w:r>
      <w:r>
        <w:t>来</w:t>
      </w:r>
      <w:r>
        <w:br/>
      </w:r>
      <w:r>
        <w:t>动作</w:t>
      </w:r>
      <w:r>
        <w:t>2</w:t>
      </w:r>
      <w:r>
        <w:t>：定福动平衡</w:t>
      </w:r>
      <w:r>
        <w:t> -- </w:t>
      </w:r>
      <w:r>
        <w:t>动态应对。在</w:t>
      </w:r>
      <w:r>
        <w:t>1</w:t>
      </w:r>
      <w:r>
        <w:t>年之内如果</w:t>
      </w:r>
      <w:r>
        <w:t>20</w:t>
      </w:r>
      <w:r w:rsidR="00DC56EB">
        <w:rPr>
          <w:rFonts w:hint="eastAsia"/>
        </w:rPr>
        <w:t>增值</w:t>
      </w:r>
      <w:r>
        <w:t>的部分向上被动高于</w:t>
      </w:r>
      <w:r>
        <w:t>25%+</w:t>
      </w:r>
      <w:r>
        <w:t>，或向下被动缩小至</w:t>
      </w:r>
      <w:r>
        <w:rPr>
          <w:rFonts w:hint="eastAsia"/>
        </w:rPr>
        <w:t>1</w:t>
      </w:r>
      <w:r>
        <w:t>5%-</w:t>
      </w:r>
      <w:r>
        <w:t>，那么就做一次调整，使得这部分回到</w:t>
      </w:r>
      <w:r w:rsidR="00DC56EB">
        <w:rPr>
          <w:rFonts w:hint="eastAsia"/>
        </w:rPr>
        <w:t>2</w:t>
      </w:r>
      <w:r w:rsidR="00DC56EB">
        <w:t>0-80</w:t>
      </w:r>
      <w:r w:rsidR="00DC56EB">
        <w:t>中枢</w:t>
      </w:r>
    </w:p>
    <w:p w:rsidR="00FF6299" w:rsidRDefault="00672664">
      <w:r>
        <w:br/>
      </w:r>
      <w:r>
        <w:br/>
        <w:t>2. 20</w:t>
      </w:r>
      <w:r>
        <w:t>及</w:t>
      </w:r>
      <w:r>
        <w:t>80</w:t>
      </w:r>
      <w:r>
        <w:t>内不同资产</w:t>
      </w:r>
      <w:r>
        <w:t>/</w:t>
      </w:r>
      <w:r>
        <w:t>策略间的动平衡</w:t>
      </w:r>
      <w:r>
        <w:br/>
      </w:r>
      <w:r>
        <w:br/>
      </w:r>
      <w:r>
        <w:t>动作</w:t>
      </w:r>
      <w:r>
        <w:t>1</w:t>
      </w:r>
      <w:r>
        <w:t>：</w:t>
      </w:r>
      <w:r>
        <w:t>20</w:t>
      </w:r>
      <w:r>
        <w:t>内部，季度校准。每季度把</w:t>
      </w:r>
      <w:r w:rsidR="00DC56EB">
        <w:rPr>
          <w:rFonts w:hint="eastAsia"/>
        </w:rPr>
        <w:t>红利</w:t>
      </w:r>
      <w:r>
        <w:t>：</w:t>
      </w:r>
      <w:proofErr w:type="gramStart"/>
      <w:r>
        <w:t>指增组合</w:t>
      </w:r>
      <w:proofErr w:type="gramEnd"/>
      <w:r>
        <w:t>的占比调整到</w:t>
      </w:r>
      <w:r>
        <w:t>1:1</w:t>
      </w:r>
      <w:r>
        <w:t>；</w:t>
      </w:r>
    </w:p>
    <w:p w:rsidR="00672664" w:rsidRDefault="00672664"/>
    <w:p w:rsidR="00672664" w:rsidRDefault="00672664">
      <w:r>
        <w:rPr>
          <w:rFonts w:hint="eastAsia"/>
        </w:rPr>
        <w:t>3</w:t>
      </w:r>
      <w:r>
        <w:t>.</w:t>
      </w:r>
      <w:r>
        <w:t>费率</w:t>
      </w:r>
    </w:p>
    <w:p w:rsidR="00672664" w:rsidRDefault="00672664">
      <w:r>
        <w:t>按年化</w:t>
      </w:r>
      <w:r>
        <w:rPr>
          <w:rFonts w:hint="eastAsia"/>
        </w:rPr>
        <w:t>0</w:t>
      </w:r>
      <w:r>
        <w:t>.5%</w:t>
      </w:r>
      <w:r>
        <w:t>计算</w:t>
      </w:r>
    </w:p>
    <w:p w:rsidR="00672664" w:rsidRDefault="00672664"/>
    <w:p w:rsidR="00672664" w:rsidRDefault="00672664">
      <w:r>
        <w:rPr>
          <w:rFonts w:hint="eastAsia"/>
        </w:rPr>
        <w:t>4</w:t>
      </w:r>
      <w:r>
        <w:t>.</w:t>
      </w:r>
      <w:r>
        <w:t>初始配置：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0"/>
        <w:gridCol w:w="980"/>
        <w:gridCol w:w="980"/>
        <w:gridCol w:w="980"/>
      </w:tblGrid>
      <w:tr w:rsidR="00672664" w:rsidRPr="00672664" w:rsidTr="00672664">
        <w:trPr>
          <w:trHeight w:val="280"/>
        </w:trPr>
        <w:tc>
          <w:tcPr>
            <w:tcW w:w="980" w:type="dxa"/>
            <w:noWrap/>
            <w:hideMark/>
          </w:tcPr>
          <w:p w:rsidR="00672664" w:rsidRPr="00672664" w:rsidRDefault="00DC56EB" w:rsidP="0067266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红利</w:t>
            </w:r>
            <w:r w:rsidR="00672664" w:rsidRPr="00672664">
              <w:rPr>
                <w:rFonts w:hint="eastAsia"/>
                <w:b/>
                <w:bCs/>
              </w:rPr>
              <w:t>权重</w:t>
            </w:r>
          </w:p>
        </w:tc>
        <w:tc>
          <w:tcPr>
            <w:tcW w:w="980" w:type="dxa"/>
            <w:noWrap/>
            <w:hideMark/>
          </w:tcPr>
          <w:p w:rsidR="00672664" w:rsidRPr="00672664" w:rsidRDefault="00672664" w:rsidP="00672664">
            <w:pPr>
              <w:rPr>
                <w:b/>
                <w:bCs/>
              </w:rPr>
            </w:pPr>
            <w:proofErr w:type="gramStart"/>
            <w:r w:rsidRPr="00672664">
              <w:rPr>
                <w:rFonts w:hint="eastAsia"/>
                <w:b/>
                <w:bCs/>
              </w:rPr>
              <w:t>指增组合</w:t>
            </w:r>
            <w:proofErr w:type="gramEnd"/>
            <w:r w:rsidRPr="00672664">
              <w:rPr>
                <w:rFonts w:hint="eastAsia"/>
                <w:b/>
                <w:bCs/>
              </w:rPr>
              <w:t>权重</w:t>
            </w:r>
          </w:p>
        </w:tc>
        <w:tc>
          <w:tcPr>
            <w:tcW w:w="980" w:type="dxa"/>
            <w:noWrap/>
            <w:hideMark/>
          </w:tcPr>
          <w:p w:rsidR="00672664" w:rsidRPr="00672664" w:rsidRDefault="00DC56EB" w:rsidP="0067266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债券</w:t>
            </w:r>
            <w:r w:rsidR="00672664" w:rsidRPr="00672664">
              <w:rPr>
                <w:rFonts w:hint="eastAsia"/>
                <w:b/>
                <w:bCs/>
              </w:rPr>
              <w:t>权重</w:t>
            </w:r>
          </w:p>
        </w:tc>
        <w:tc>
          <w:tcPr>
            <w:tcW w:w="980" w:type="dxa"/>
            <w:noWrap/>
            <w:hideMark/>
          </w:tcPr>
          <w:p w:rsidR="00672664" w:rsidRPr="00672664" w:rsidRDefault="00672664" w:rsidP="00672664">
            <w:pPr>
              <w:rPr>
                <w:b/>
                <w:bCs/>
              </w:rPr>
            </w:pPr>
            <w:r w:rsidRPr="00672664">
              <w:rPr>
                <w:rFonts w:hint="eastAsia"/>
                <w:b/>
                <w:bCs/>
              </w:rPr>
              <w:t>黄金权重</w:t>
            </w:r>
          </w:p>
        </w:tc>
      </w:tr>
      <w:tr w:rsidR="00672664" w:rsidRPr="00672664" w:rsidTr="00672664">
        <w:trPr>
          <w:trHeight w:val="280"/>
        </w:trPr>
        <w:tc>
          <w:tcPr>
            <w:tcW w:w="980" w:type="dxa"/>
            <w:noWrap/>
            <w:hideMark/>
          </w:tcPr>
          <w:p w:rsidR="00672664" w:rsidRPr="00672664" w:rsidRDefault="00672664" w:rsidP="00672664">
            <w:r w:rsidRPr="00672664">
              <w:rPr>
                <w:rFonts w:hint="eastAsia"/>
              </w:rPr>
              <w:t>0.1</w:t>
            </w:r>
          </w:p>
        </w:tc>
        <w:tc>
          <w:tcPr>
            <w:tcW w:w="980" w:type="dxa"/>
            <w:noWrap/>
            <w:hideMark/>
          </w:tcPr>
          <w:p w:rsidR="00672664" w:rsidRPr="00672664" w:rsidRDefault="00672664" w:rsidP="00672664">
            <w:r w:rsidRPr="00672664">
              <w:rPr>
                <w:rFonts w:hint="eastAsia"/>
              </w:rPr>
              <w:t>0.1</w:t>
            </w:r>
          </w:p>
        </w:tc>
        <w:tc>
          <w:tcPr>
            <w:tcW w:w="980" w:type="dxa"/>
            <w:noWrap/>
            <w:hideMark/>
          </w:tcPr>
          <w:p w:rsidR="00672664" w:rsidRPr="00672664" w:rsidRDefault="00672664" w:rsidP="00672664">
            <w:r w:rsidRPr="00672664">
              <w:rPr>
                <w:rFonts w:hint="eastAsia"/>
              </w:rPr>
              <w:t>0.75</w:t>
            </w:r>
          </w:p>
        </w:tc>
        <w:tc>
          <w:tcPr>
            <w:tcW w:w="980" w:type="dxa"/>
            <w:noWrap/>
            <w:hideMark/>
          </w:tcPr>
          <w:p w:rsidR="00672664" w:rsidRPr="00672664" w:rsidRDefault="00672664" w:rsidP="00672664">
            <w:r w:rsidRPr="00672664">
              <w:rPr>
                <w:rFonts w:hint="eastAsia"/>
              </w:rPr>
              <w:t>0.05</w:t>
            </w:r>
          </w:p>
        </w:tc>
      </w:tr>
    </w:tbl>
    <w:p w:rsidR="00672664" w:rsidRDefault="00DC56EB">
      <w:r>
        <w:rPr>
          <w:rFonts w:hint="eastAsia"/>
        </w:rPr>
        <w:t>增值</w:t>
      </w:r>
      <w:r>
        <w:rPr>
          <w:rFonts w:hint="eastAsia"/>
        </w:rPr>
        <w:t>=</w:t>
      </w:r>
      <w:r>
        <w:rPr>
          <w:rFonts w:hint="eastAsia"/>
        </w:rPr>
        <w:t>红利</w:t>
      </w:r>
      <w:r w:rsidR="00672664">
        <w:rPr>
          <w:rFonts w:hint="eastAsia"/>
        </w:rPr>
        <w:t>+</w:t>
      </w:r>
      <w:proofErr w:type="gramStart"/>
      <w:r w:rsidR="00672664">
        <w:rPr>
          <w:rFonts w:hint="eastAsia"/>
        </w:rPr>
        <w:t>指增</w:t>
      </w:r>
      <w:proofErr w:type="gramEnd"/>
      <w:r w:rsidR="00672664">
        <w:rPr>
          <w:rFonts w:hint="eastAsia"/>
        </w:rPr>
        <w:t>=</w:t>
      </w:r>
      <w:r w:rsidR="00672664">
        <w:t>2</w:t>
      </w:r>
    </w:p>
    <w:p w:rsidR="00672664" w:rsidRDefault="00672664">
      <w:r>
        <w:t>生息</w:t>
      </w:r>
      <w:r>
        <w:rPr>
          <w:rFonts w:hint="eastAsia"/>
        </w:rPr>
        <w:t>=</w:t>
      </w:r>
      <w:r>
        <w:rPr>
          <w:rFonts w:hint="eastAsia"/>
        </w:rPr>
        <w:t>债券</w:t>
      </w:r>
      <w:r>
        <w:rPr>
          <w:rFonts w:hint="eastAsia"/>
        </w:rPr>
        <w:t>+</w:t>
      </w:r>
      <w:r>
        <w:rPr>
          <w:rFonts w:hint="eastAsia"/>
        </w:rPr>
        <w:t>黄金</w:t>
      </w:r>
      <w:r>
        <w:rPr>
          <w:rFonts w:hint="eastAsia"/>
        </w:rPr>
        <w:t>=</w:t>
      </w:r>
      <w:r>
        <w:t>8</w:t>
      </w:r>
      <w:bookmarkStart w:id="0" w:name="_GoBack"/>
      <w:bookmarkEnd w:id="0"/>
    </w:p>
    <w:p w:rsidR="00DC56EB" w:rsidRDefault="00DC56EB"/>
    <w:p w:rsidR="00DC56EB" w:rsidRDefault="00DC56EB">
      <w:r>
        <w:t>5.</w:t>
      </w:r>
      <w:r>
        <w:t>红利内部测算分组</w:t>
      </w:r>
      <w:r>
        <w:rPr>
          <w:rFonts w:hint="eastAsia"/>
        </w:rPr>
        <w:t>规则</w:t>
      </w:r>
      <w:r>
        <w:t>：</w:t>
      </w:r>
    </w:p>
    <w:p w:rsidR="00DC56EB" w:rsidRDefault="00DC56EB">
      <w:pPr>
        <w:rPr>
          <w:rFonts w:hint="eastAsia"/>
        </w:rPr>
      </w:pPr>
      <w:r>
        <w:t>不含主观：</w:t>
      </w:r>
      <w:r>
        <w:br/>
        <w:t>group1</w:t>
      </w:r>
      <w:r>
        <w:t>：</w:t>
      </w:r>
      <w:r>
        <w:t>10%</w:t>
      </w:r>
      <w:r>
        <w:t>中证红利</w:t>
      </w:r>
      <w:r>
        <w:br/>
        <w:t>group2:  10%</w:t>
      </w:r>
      <w:proofErr w:type="gramStart"/>
      <w:r>
        <w:t>红利低波</w:t>
      </w:r>
      <w:proofErr w:type="gramEnd"/>
      <w:r>
        <w:br/>
        <w:t>group3: 5%</w:t>
      </w:r>
      <w:r>
        <w:t>中证红利</w:t>
      </w:r>
      <w:r>
        <w:t>+5%</w:t>
      </w:r>
      <w:proofErr w:type="gramStart"/>
      <w:r>
        <w:t>红利低波</w:t>
      </w:r>
      <w:proofErr w:type="gramEnd"/>
      <w:r>
        <w:br/>
        <w:t>group4</w:t>
      </w:r>
      <w:r>
        <w:t>：</w:t>
      </w:r>
      <w:r>
        <w:t>4%</w:t>
      </w:r>
      <w:r>
        <w:t>中证红利</w:t>
      </w:r>
      <w:r>
        <w:t>+4%</w:t>
      </w:r>
      <w:proofErr w:type="gramStart"/>
      <w:r>
        <w:t>红利低波</w:t>
      </w:r>
      <w:proofErr w:type="gramEnd"/>
      <w:r>
        <w:t>+2%</w:t>
      </w:r>
      <w:r>
        <w:t>港股</w:t>
      </w:r>
      <w:proofErr w:type="gramStart"/>
      <w:r>
        <w:t>通央企</w:t>
      </w:r>
      <w:proofErr w:type="gramEnd"/>
      <w:r>
        <w:t>红利</w:t>
      </w:r>
      <w:r>
        <w:br/>
      </w:r>
      <w:r>
        <w:br/>
      </w:r>
      <w:r>
        <w:t>含主观：</w:t>
      </w:r>
      <w:r>
        <w:br/>
        <w:t>group5</w:t>
      </w:r>
      <w:r>
        <w:t>：</w:t>
      </w:r>
      <w:r>
        <w:t>8%</w:t>
      </w:r>
      <w:r>
        <w:t>中证红利</w:t>
      </w:r>
      <w:r>
        <w:t>+1%</w:t>
      </w:r>
      <w:r>
        <w:t>徐彦</w:t>
      </w:r>
      <w:r>
        <w:t>+1%</w:t>
      </w:r>
      <w:proofErr w:type="gramStart"/>
      <w:r>
        <w:t>綦缚鹏</w:t>
      </w:r>
      <w:proofErr w:type="gramEnd"/>
      <w:r>
        <w:br/>
        <w:t>group6:  8%</w:t>
      </w:r>
      <w:proofErr w:type="gramStart"/>
      <w:r>
        <w:t>红利低波</w:t>
      </w:r>
      <w:proofErr w:type="gramEnd"/>
      <w:r>
        <w:t>+1%</w:t>
      </w:r>
      <w:r>
        <w:t>徐彦</w:t>
      </w:r>
      <w:r>
        <w:t>+1%</w:t>
      </w:r>
      <w:proofErr w:type="gramStart"/>
      <w:r>
        <w:t>綦缚鹏</w:t>
      </w:r>
      <w:proofErr w:type="gramEnd"/>
      <w:r>
        <w:br/>
        <w:t>group7</w:t>
      </w:r>
      <w:r>
        <w:t>：</w:t>
      </w:r>
      <w:r>
        <w:t>4%</w:t>
      </w:r>
      <w:r>
        <w:t>中证红利</w:t>
      </w:r>
      <w:r>
        <w:t>+4%</w:t>
      </w:r>
      <w:proofErr w:type="gramStart"/>
      <w:r>
        <w:t>红利低波</w:t>
      </w:r>
      <w:proofErr w:type="gramEnd"/>
      <w:r>
        <w:t>+1%</w:t>
      </w:r>
      <w:r>
        <w:t>徐彦</w:t>
      </w:r>
      <w:r>
        <w:t>+1%</w:t>
      </w:r>
      <w:proofErr w:type="gramStart"/>
      <w:r>
        <w:t>綦缚鹏</w:t>
      </w:r>
      <w:proofErr w:type="gramEnd"/>
      <w:r>
        <w:br/>
        <w:t>group8:  3%</w:t>
      </w:r>
      <w:r>
        <w:t>中证红利</w:t>
      </w:r>
      <w:r>
        <w:t>+3%</w:t>
      </w:r>
      <w:proofErr w:type="gramStart"/>
      <w:r>
        <w:t>红利低波</w:t>
      </w:r>
      <w:proofErr w:type="gramEnd"/>
      <w:r>
        <w:t>+2%</w:t>
      </w:r>
      <w:r>
        <w:t>港股</w:t>
      </w:r>
      <w:proofErr w:type="gramStart"/>
      <w:r>
        <w:t>通央企</w:t>
      </w:r>
      <w:proofErr w:type="gramEnd"/>
      <w:r>
        <w:t>红利</w:t>
      </w:r>
      <w:r>
        <w:t>+1%</w:t>
      </w:r>
      <w:r>
        <w:t>徐彦</w:t>
      </w:r>
      <w:r>
        <w:t>+1%</w:t>
      </w:r>
      <w:proofErr w:type="gramStart"/>
      <w:r>
        <w:t>綦</w:t>
      </w:r>
      <w:proofErr w:type="gramEnd"/>
      <w:r>
        <w:t>缚鹏</w:t>
      </w:r>
    </w:p>
    <w:sectPr w:rsidR="00DC56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664"/>
    <w:rsid w:val="00672664"/>
    <w:rsid w:val="00DC56EB"/>
    <w:rsid w:val="00FF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D33847-DB4A-4E88-BDF6-B73166B8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26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79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白昕</dc:creator>
  <cp:keywords/>
  <dc:description/>
  <cp:lastModifiedBy>白昕</cp:lastModifiedBy>
  <cp:revision>2</cp:revision>
  <dcterms:created xsi:type="dcterms:W3CDTF">2026-09-03T04:18:00Z</dcterms:created>
  <dcterms:modified xsi:type="dcterms:W3CDTF">2026-09-03T04:18:00Z</dcterms:modified>
</cp:coreProperties>
</file>