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A84D1">
      <w:pPr>
        <w:pStyle w:val="2"/>
        <w:keepNext w:val="0"/>
        <w:keepLines w:val="0"/>
        <w:widowControl/>
        <w:suppressLineNumbers w:val="0"/>
      </w:pPr>
      <w:r>
        <w:t>鑫元致远量化选股混合：追求超额的“微盘多因子增强”工具</w:t>
      </w:r>
    </w:p>
    <w:p w14:paraId="4F5F82B1">
      <w:pPr>
        <w:pStyle w:val="2"/>
        <w:keepNext w:val="0"/>
        <w:keepLines w:val="0"/>
        <w:widowControl/>
        <w:suppressLineNumbers w:val="0"/>
      </w:pPr>
      <w:r>
        <w:t>•产品定位：偏股混合型基金，在微盘域内做增强的Smart Beta策略。</w:t>
      </w:r>
    </w:p>
    <w:p w14:paraId="5D692941">
      <w:pPr>
        <w:pStyle w:val="2"/>
        <w:keepNext w:val="0"/>
        <w:keepLines w:val="0"/>
        <w:widowControl/>
        <w:suppressLineNumbers w:val="0"/>
      </w:pPr>
      <w:r>
        <w:t>•策略核心（微盘多因子100策略）：不同于鑫锐的纯复制，致远量化在万得微盘股指数（市值最小的400只）的样本空间基础上，做了两层深度加工：负向剔除：剔除ESG评级较差、财务质量低下的“劣质微盘股”以防范暴雷风险。正向筛选（核心差异）：在剩余股票中，综合考虑“价值类因子”（低估值）与“红利类因子”（高股息），选出综合得分最高的100只股票。</w:t>
      </w:r>
    </w:p>
    <w:p w14:paraId="5E81D5EC">
      <w:pPr>
        <w:pStyle w:val="2"/>
        <w:keepNext w:val="0"/>
        <w:keepLines w:val="0"/>
        <w:widowControl/>
        <w:suppressLineNumbers w:val="0"/>
      </w:pPr>
      <w:r>
        <w:t>•调仓与权重：同样采用等权配置与双周频调仓。</w:t>
      </w:r>
    </w:p>
    <w:p w14:paraId="63B0D4DE">
      <w:pPr>
        <w:pStyle w:val="2"/>
        <w:keepNext w:val="0"/>
        <w:keepLines w:val="0"/>
        <w:widowControl/>
        <w:suppressLineNumbers w:val="0"/>
      </w:pPr>
      <w:r>
        <w:t>•产品特色在微盘股中叠加“动量”或“成长”是追涨杀跌，表现极差。致远量化叠加“价值与红利”本质是强化“高抛低吸”的特性。从中长期回测看，该策略不仅跑赢了万得微盘股指数，还在年化收益和夏普比率上做出了显著的增强效果。适合看好微盘但希望通过因子选股进一步提升盈亏比的投资者。</w:t>
      </w:r>
    </w:p>
    <w:p w14:paraId="28AACE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B68B1"/>
    <w:rsid w:val="6D7B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2026-08-02T22:09:00Z</dcterms:created>
  <dc:creator>WPS_1785679771</dc:creator>
  <cp:lastModifiedBy>WPS_1785679771</cp:lastModifiedBy>
  <dcterms:modified xsi:type="dcterms:W3CDTF">2026-08-02T22:10:15Z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1264CA7371FD28DFA84F6F6A8617EDEA_41</vt:lpwstr>
  </property>
</Properties>
</file>