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季度报告 Quarterly report</w:t>
      </w:r>
    </w:p>
    <w:p>
      <w:r>
        <w:rPr>
          <w:b/>
        </w:rPr>
        <w:t>这是一段中文正文，用来检查字体与排版。Bold text.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0,0</w:t>
            </w:r>
          </w:p>
        </w:tc>
        <w:tc>
          <w:tcPr>
            <w:tcW w:type="dxa" w:w="2880"/>
          </w:tcPr>
          <w:p>
            <w:r>
              <w:t>0,1</w:t>
            </w:r>
          </w:p>
        </w:tc>
        <w:tc>
          <w:tcPr>
            <w:tcW w:type="dxa" w:w="2880"/>
          </w:tcPr>
          <w:p>
            <w:r>
              <w:t>0,2</w:t>
            </w:r>
          </w:p>
        </w:tc>
      </w:tr>
      <w:tr>
        <w:tc>
          <w:tcPr>
            <w:tcW w:type="dxa" w:w="2880"/>
          </w:tcPr>
          <w:p>
            <w:r>
              <w:t>1,0</w:t>
            </w:r>
          </w:p>
        </w:tc>
        <w:tc>
          <w:tcPr>
            <w:tcW w:type="dxa" w:w="2880"/>
          </w:tcPr>
          <w:p>
            <w:r>
              <w:t>1,1</w:t>
            </w:r>
          </w:p>
        </w:tc>
        <w:tc>
          <w:tcPr>
            <w:tcW w:type="dxa" w:w="2880"/>
          </w:tcPr>
          <w:p>
            <w:r>
              <w:t>1,2</w:t>
            </w:r>
          </w:p>
        </w:tc>
      </w:tr>
      <w:tr>
        <w:tc>
          <w:tcPr>
            <w:tcW w:type="dxa" w:w="2880"/>
          </w:tcPr>
          <w:p>
            <w:r>
              <w:t>2,0</w:t>
            </w:r>
          </w:p>
        </w:tc>
        <w:tc>
          <w:tcPr>
            <w:tcW w:type="dxa" w:w="2880"/>
          </w:tcPr>
          <w:p>
            <w:r>
              <w:t>2,1</w:t>
            </w:r>
          </w:p>
        </w:tc>
        <w:tc>
          <w:tcPr>
            <w:tcW w:type="dxa" w:w="2880"/>
          </w:tcPr>
          <w:p>
            <w:r>
              <w:t>2,2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