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8D251" w14:textId="77777777" w:rsidR="00C747F6" w:rsidRPr="001D745A" w:rsidRDefault="00C747F6" w:rsidP="00C747F6">
      <w:pPr>
        <w:rPr>
          <w:rFonts w:ascii="Gadugi" w:hAnsi="Gadugi" w:cs="Courier New"/>
          <w:b/>
        </w:rPr>
      </w:pPr>
      <w:r w:rsidRPr="001D745A">
        <w:rPr>
          <w:rFonts w:ascii="Gadugi" w:hAnsi="Gadugi" w:cs="Courier New"/>
          <w:b/>
        </w:rPr>
        <w:t xml:space="preserve">Assignment </w:t>
      </w:r>
    </w:p>
    <w:p w14:paraId="79EA106B" w14:textId="77777777" w:rsidR="00F313B6" w:rsidRPr="001D745A" w:rsidRDefault="00F313B6" w:rsidP="00F313B6">
      <w:pPr>
        <w:rPr>
          <w:rFonts w:ascii="Gadugi" w:hAnsi="Gadugi" w:cs="Courier New"/>
          <w:sz w:val="24"/>
        </w:rPr>
      </w:pPr>
      <w:r w:rsidRPr="001D745A">
        <w:rPr>
          <w:rFonts w:ascii="Gadugi" w:hAnsi="Gadugi" w:cs="Courier New"/>
        </w:rPr>
        <w:t>Digital Mapping and Preparation of Strategic Urban Development Plans for Cluster Iv Towns: Naivasha Town (951 Sq Km</w:t>
      </w:r>
      <w:r w:rsidRPr="001D745A">
        <w:rPr>
          <w:rFonts w:ascii="Gadugi" w:hAnsi="Gadugi" w:cs="Courier New"/>
          <w:sz w:val="24"/>
        </w:rPr>
        <w:t>)</w:t>
      </w:r>
    </w:p>
    <w:p w14:paraId="09536FC8" w14:textId="77777777" w:rsidR="00C747F6" w:rsidRPr="001D745A" w:rsidRDefault="00C747F6" w:rsidP="00C747F6">
      <w:pPr>
        <w:pStyle w:val="ListParagraph"/>
        <w:ind w:left="450"/>
        <w:jc w:val="left"/>
        <w:rPr>
          <w:rFonts w:ascii="Gadugi" w:hAnsi="Gadugi" w:cs="Courier New"/>
          <w:sz w:val="22"/>
          <w:szCs w:val="22"/>
          <w:lang w:val="en-GB"/>
        </w:rPr>
      </w:pPr>
    </w:p>
    <w:p w14:paraId="60F40CC4" w14:textId="77777777" w:rsidR="00C747F6" w:rsidRPr="001D745A" w:rsidRDefault="00C747F6" w:rsidP="00C747F6">
      <w:pPr>
        <w:rPr>
          <w:rFonts w:ascii="Gadugi" w:hAnsi="Gadugi" w:cs="Courier New"/>
          <w:b/>
        </w:rPr>
      </w:pPr>
      <w:r w:rsidRPr="001D745A">
        <w:rPr>
          <w:rFonts w:ascii="Gadugi" w:hAnsi="Gadugi" w:cs="Courier New"/>
          <w:b/>
        </w:rPr>
        <w:t xml:space="preserve">Client: </w:t>
      </w:r>
    </w:p>
    <w:p w14:paraId="483DE0B7" w14:textId="79755092" w:rsidR="00C05FBC" w:rsidRDefault="0080038B" w:rsidP="00C747F6">
      <w:pPr>
        <w:rPr>
          <w:rFonts w:ascii="Gadugi" w:hAnsi="Gadugi" w:cs="Courier New"/>
        </w:rPr>
      </w:pPr>
      <w:r>
        <w:rPr>
          <w:rFonts w:ascii="Gadugi" w:hAnsi="Gadugi" w:cs="Courier New"/>
        </w:rPr>
        <w:t xml:space="preserve">Government of Kenya, </w:t>
      </w:r>
      <w:r w:rsidRPr="001D745A">
        <w:rPr>
          <w:rFonts w:ascii="Gadugi" w:hAnsi="Gadugi" w:cs="Courier New"/>
        </w:rPr>
        <w:t>Ministry of Lands, Housing and Urban Development</w:t>
      </w:r>
      <w:r>
        <w:rPr>
          <w:rFonts w:ascii="Gadugi" w:hAnsi="Gadugi" w:cs="Courier New"/>
        </w:rPr>
        <w:t xml:space="preserve"> </w:t>
      </w:r>
      <w:r w:rsidR="00C05FBC">
        <w:rPr>
          <w:rFonts w:ascii="Gadugi" w:hAnsi="Gadugi" w:cs="Courier New"/>
        </w:rPr>
        <w:t xml:space="preserve">– </w:t>
      </w:r>
    </w:p>
    <w:p w14:paraId="3AD49B66" w14:textId="2893C6C9" w:rsidR="00C747F6" w:rsidRDefault="00C05FBC" w:rsidP="00C747F6">
      <w:pPr>
        <w:rPr>
          <w:rFonts w:ascii="Gadugi" w:hAnsi="Gadugi" w:cs="Courier New"/>
          <w:b/>
        </w:rPr>
      </w:pPr>
      <w:r>
        <w:rPr>
          <w:rFonts w:ascii="Gadugi" w:hAnsi="Gadugi" w:cs="Courier New"/>
        </w:rPr>
        <w:t xml:space="preserve">Funded by </w:t>
      </w:r>
      <w:r w:rsidR="0080038B">
        <w:rPr>
          <w:rFonts w:ascii="Gadugi" w:hAnsi="Gadugi" w:cs="Courier New"/>
        </w:rPr>
        <w:t>World Bank</w:t>
      </w:r>
      <w:r>
        <w:rPr>
          <w:rFonts w:ascii="Gadugi" w:hAnsi="Gadugi" w:cs="Courier New"/>
        </w:rPr>
        <w:t xml:space="preserve"> under the Kenya Municipal Programme</w:t>
      </w:r>
    </w:p>
    <w:p w14:paraId="4EC7649D" w14:textId="119FCEFE" w:rsidR="00C747F6" w:rsidRPr="001D745A" w:rsidRDefault="00C747F6" w:rsidP="00C747F6">
      <w:pPr>
        <w:rPr>
          <w:rFonts w:ascii="Gadugi" w:hAnsi="Gadugi" w:cs="Courier New"/>
          <w:b/>
        </w:rPr>
      </w:pPr>
      <w:r w:rsidRPr="001D745A">
        <w:rPr>
          <w:rFonts w:ascii="Gadugi" w:hAnsi="Gadugi" w:cs="Courier New"/>
          <w:b/>
        </w:rPr>
        <w:t>Period:</w:t>
      </w:r>
    </w:p>
    <w:p w14:paraId="4AE0F85B" w14:textId="77777777" w:rsidR="0080038B" w:rsidRPr="009F2110" w:rsidRDefault="0080038B" w:rsidP="0080038B">
      <w:pPr>
        <w:rPr>
          <w:rFonts w:ascii="Gadugi" w:hAnsi="Gadugi"/>
          <w:bCs/>
          <w:color w:val="000000" w:themeColor="text1"/>
          <w:sz w:val="24"/>
        </w:rPr>
      </w:pPr>
      <w:r w:rsidRPr="009F2110">
        <w:rPr>
          <w:rFonts w:ascii="Gadugi" w:hAnsi="Gadugi"/>
          <w:bCs/>
          <w:color w:val="000000" w:themeColor="text1"/>
          <w:sz w:val="24"/>
        </w:rPr>
        <w:t>2014-2016</w:t>
      </w:r>
    </w:p>
    <w:p w14:paraId="384585A2" w14:textId="77777777" w:rsidR="00C747F6" w:rsidRPr="001D745A" w:rsidRDefault="00C747F6" w:rsidP="00C747F6">
      <w:pPr>
        <w:ind w:left="90"/>
        <w:rPr>
          <w:rFonts w:ascii="Gadugi" w:hAnsi="Gadugi" w:cs="Courier New"/>
          <w:b/>
        </w:rPr>
      </w:pPr>
    </w:p>
    <w:p w14:paraId="5E247642" w14:textId="77777777" w:rsidR="00C747F6" w:rsidRPr="001D745A" w:rsidRDefault="00C747F6" w:rsidP="00C747F6">
      <w:pPr>
        <w:ind w:left="90"/>
        <w:rPr>
          <w:rFonts w:ascii="Gadugi" w:hAnsi="Gadugi" w:cs="Courier New"/>
          <w:b/>
        </w:rPr>
      </w:pPr>
      <w:r w:rsidRPr="001D745A">
        <w:rPr>
          <w:rFonts w:ascii="Gadugi" w:hAnsi="Gadugi" w:cs="Courier New"/>
          <w:b/>
        </w:rPr>
        <w:t>Status:</w:t>
      </w:r>
    </w:p>
    <w:p w14:paraId="37D9BD16" w14:textId="309F60EE" w:rsidR="00C747F6" w:rsidRPr="001D745A" w:rsidRDefault="00C747F6" w:rsidP="00C747F6">
      <w:pPr>
        <w:ind w:left="90"/>
        <w:rPr>
          <w:rFonts w:ascii="Gadugi" w:hAnsi="Gadugi" w:cs="Courier New"/>
        </w:rPr>
      </w:pPr>
      <w:r>
        <w:rPr>
          <w:rFonts w:ascii="Gadugi" w:hAnsi="Gadugi" w:cs="Courier New"/>
        </w:rPr>
        <w:t>Complete and Approved</w:t>
      </w:r>
    </w:p>
    <w:p w14:paraId="3737B92E" w14:textId="77777777" w:rsidR="00C747F6" w:rsidRPr="001D745A" w:rsidRDefault="00C747F6" w:rsidP="00C747F6">
      <w:pPr>
        <w:rPr>
          <w:rFonts w:ascii="Gadugi" w:hAnsi="Gadugi" w:cs="Courier New"/>
          <w:b/>
        </w:rPr>
      </w:pPr>
    </w:p>
    <w:p w14:paraId="6FC7D86C" w14:textId="77777777" w:rsidR="00C747F6" w:rsidRPr="001D745A" w:rsidRDefault="00C747F6" w:rsidP="00C747F6">
      <w:pPr>
        <w:rPr>
          <w:rFonts w:ascii="Gadugi" w:hAnsi="Gadugi" w:cs="Courier New"/>
          <w:b/>
        </w:rPr>
      </w:pPr>
      <w:r w:rsidRPr="001D745A">
        <w:rPr>
          <w:rFonts w:ascii="Gadugi" w:hAnsi="Gadugi" w:cs="Courier New"/>
          <w:b/>
        </w:rPr>
        <w:t xml:space="preserve">Project Outputs:  </w:t>
      </w:r>
    </w:p>
    <w:p w14:paraId="3B7E7219" w14:textId="13AE4E67" w:rsidR="0080038B" w:rsidRPr="0080038B" w:rsidRDefault="0080038B" w:rsidP="0080038B">
      <w:pPr>
        <w:spacing w:line="276" w:lineRule="auto"/>
        <w:rPr>
          <w:rFonts w:ascii="Gadugi" w:hAnsi="Gadugi" w:cs="Courier New"/>
        </w:rPr>
      </w:pPr>
      <w:r w:rsidRPr="0080038B">
        <w:rPr>
          <w:rFonts w:ascii="Gadugi" w:hAnsi="Gadugi" w:cs="Courier New"/>
        </w:rPr>
        <w:t>Preparation of ISUDP plans for Na</w:t>
      </w:r>
      <w:r w:rsidR="00431849">
        <w:rPr>
          <w:rFonts w:ascii="Gadugi" w:hAnsi="Gadugi" w:cs="Courier New"/>
        </w:rPr>
        <w:t>ivasha</w:t>
      </w:r>
      <w:r w:rsidRPr="0080038B">
        <w:rPr>
          <w:rFonts w:ascii="Gadugi" w:hAnsi="Gadugi" w:cs="Courier New"/>
        </w:rPr>
        <w:t xml:space="preserve"> town. Crucial components of the plan included;</w:t>
      </w:r>
    </w:p>
    <w:p w14:paraId="60C6A8B5" w14:textId="3ACFD665" w:rsidR="00C747F6" w:rsidRDefault="00C747F6" w:rsidP="00C747F6">
      <w:pPr>
        <w:pStyle w:val="ListParagraph"/>
        <w:numPr>
          <w:ilvl w:val="0"/>
          <w:numId w:val="2"/>
        </w:numPr>
        <w:rPr>
          <w:rFonts w:ascii="Gadugi" w:hAnsi="Gadugi" w:cs="Courier New"/>
          <w:spacing w:val="-2"/>
          <w:szCs w:val="20"/>
        </w:rPr>
      </w:pPr>
      <w:r w:rsidRPr="00C747F6">
        <w:rPr>
          <w:rFonts w:ascii="Gadugi" w:hAnsi="Gadugi" w:cs="Courier New"/>
          <w:spacing w:val="-2"/>
          <w:szCs w:val="20"/>
        </w:rPr>
        <w:t xml:space="preserve">GIS based digital Maps </w:t>
      </w:r>
    </w:p>
    <w:p w14:paraId="4391ED05" w14:textId="77777777" w:rsidR="0080038B" w:rsidRPr="001D745A" w:rsidRDefault="0080038B" w:rsidP="0080038B">
      <w:pPr>
        <w:pStyle w:val="ListParagraph"/>
        <w:numPr>
          <w:ilvl w:val="0"/>
          <w:numId w:val="2"/>
        </w:numPr>
        <w:jc w:val="left"/>
        <w:rPr>
          <w:rFonts w:ascii="Gadugi" w:hAnsi="Gadugi" w:cs="Courier New"/>
          <w:sz w:val="22"/>
          <w:szCs w:val="20"/>
          <w:lang w:val="en-GB"/>
        </w:rPr>
      </w:pPr>
      <w:r w:rsidRPr="001D745A">
        <w:rPr>
          <w:rFonts w:ascii="Gadugi" w:hAnsi="Gadugi" w:cs="Courier New"/>
          <w:sz w:val="22"/>
          <w:szCs w:val="20"/>
          <w:lang w:val="en-GB"/>
        </w:rPr>
        <w:t>A Structure Plan</w:t>
      </w:r>
    </w:p>
    <w:p w14:paraId="503EBF9E" w14:textId="77777777" w:rsidR="0080038B" w:rsidRPr="00880C6A" w:rsidRDefault="0080038B" w:rsidP="0080038B">
      <w:pPr>
        <w:pStyle w:val="ListParagraph"/>
        <w:numPr>
          <w:ilvl w:val="0"/>
          <w:numId w:val="2"/>
        </w:numPr>
        <w:jc w:val="left"/>
        <w:rPr>
          <w:rFonts w:ascii="Gadugi" w:hAnsi="Gadugi" w:cs="Courier New"/>
          <w:color w:val="auto"/>
          <w:sz w:val="22"/>
          <w:szCs w:val="20"/>
          <w:lang w:val="en-GB"/>
        </w:rPr>
      </w:pPr>
      <w:r w:rsidRPr="00880C6A">
        <w:rPr>
          <w:rFonts w:ascii="Gadugi" w:hAnsi="Gadugi" w:cs="Courier New"/>
          <w:color w:val="auto"/>
          <w:sz w:val="22"/>
          <w:szCs w:val="20"/>
          <w:lang w:val="en-GB"/>
        </w:rPr>
        <w:t xml:space="preserve">Urban Development Plan </w:t>
      </w:r>
    </w:p>
    <w:p w14:paraId="1249F255" w14:textId="20A0C8AF" w:rsidR="0080038B" w:rsidRPr="00F313B6" w:rsidRDefault="0080038B" w:rsidP="0080038B">
      <w:pPr>
        <w:pStyle w:val="ListParagraph"/>
        <w:numPr>
          <w:ilvl w:val="0"/>
          <w:numId w:val="2"/>
        </w:numPr>
        <w:jc w:val="left"/>
        <w:rPr>
          <w:rFonts w:ascii="Courier New" w:hAnsi="Courier New" w:cs="Courier New"/>
          <w:sz w:val="22"/>
          <w:szCs w:val="20"/>
          <w:lang w:val="en-GB"/>
        </w:rPr>
      </w:pPr>
      <w:r w:rsidRPr="0080038B">
        <w:rPr>
          <w:rFonts w:ascii="Gadugi" w:hAnsi="Gadugi" w:cs="Courier New"/>
          <w:sz w:val="22"/>
          <w:szCs w:val="20"/>
          <w:lang w:val="en-GB"/>
        </w:rPr>
        <w:t xml:space="preserve">Action area plans </w:t>
      </w:r>
    </w:p>
    <w:p w14:paraId="533F9BCB" w14:textId="010CA5B2" w:rsidR="00F313B6" w:rsidRPr="0080038B" w:rsidRDefault="00F313B6" w:rsidP="0080038B">
      <w:pPr>
        <w:pStyle w:val="ListParagraph"/>
        <w:numPr>
          <w:ilvl w:val="0"/>
          <w:numId w:val="2"/>
        </w:numPr>
        <w:jc w:val="left"/>
        <w:rPr>
          <w:rFonts w:ascii="Courier New" w:hAnsi="Courier New" w:cs="Courier New"/>
          <w:sz w:val="22"/>
          <w:szCs w:val="20"/>
          <w:lang w:val="en-GB"/>
        </w:rPr>
      </w:pPr>
      <w:r>
        <w:rPr>
          <w:rFonts w:ascii="Gadugi" w:hAnsi="Gadugi" w:cs="Courier New"/>
          <w:sz w:val="22"/>
          <w:szCs w:val="20"/>
          <w:lang w:val="en-GB"/>
        </w:rPr>
        <w:t>Urban renewal and Informal settlement plans</w:t>
      </w:r>
    </w:p>
    <w:p w14:paraId="39E269DE" w14:textId="77777777" w:rsidR="0080038B" w:rsidRPr="001D745A" w:rsidRDefault="0080038B" w:rsidP="0080038B">
      <w:pPr>
        <w:pStyle w:val="ListParagraph"/>
        <w:numPr>
          <w:ilvl w:val="0"/>
          <w:numId w:val="2"/>
        </w:numPr>
        <w:jc w:val="left"/>
        <w:rPr>
          <w:rFonts w:ascii="Courier New" w:hAnsi="Courier New" w:cs="Courier New"/>
          <w:sz w:val="22"/>
          <w:szCs w:val="20"/>
          <w:lang w:val="en-GB"/>
        </w:rPr>
      </w:pPr>
      <w:r w:rsidRPr="001D745A">
        <w:rPr>
          <w:rFonts w:ascii="Gadugi" w:hAnsi="Gadugi" w:cs="Courier New"/>
          <w:sz w:val="22"/>
          <w:szCs w:val="20"/>
          <w:lang w:val="en-GB"/>
        </w:rPr>
        <w:t xml:space="preserve">5 No. Subject plans </w:t>
      </w:r>
    </w:p>
    <w:p w14:paraId="3E042BF6" w14:textId="77777777" w:rsidR="0080038B" w:rsidRPr="001D745A" w:rsidRDefault="0080038B" w:rsidP="0080038B">
      <w:pPr>
        <w:pStyle w:val="ListParagraph"/>
        <w:numPr>
          <w:ilvl w:val="0"/>
          <w:numId w:val="2"/>
        </w:numPr>
        <w:jc w:val="left"/>
        <w:rPr>
          <w:rFonts w:ascii="Gadugi" w:hAnsi="Gadugi" w:cs="Courier New"/>
          <w:sz w:val="22"/>
          <w:szCs w:val="20"/>
          <w:lang w:val="en-GB"/>
        </w:rPr>
      </w:pPr>
      <w:r w:rsidRPr="001D745A">
        <w:rPr>
          <w:rFonts w:ascii="Gadugi" w:hAnsi="Gadugi" w:cs="Courier New"/>
          <w:sz w:val="22"/>
          <w:szCs w:val="20"/>
          <w:lang w:val="en-GB"/>
        </w:rPr>
        <w:t xml:space="preserve">11 no. Planning policies </w:t>
      </w:r>
    </w:p>
    <w:p w14:paraId="41174CB1" w14:textId="44626933" w:rsidR="0080038B" w:rsidRDefault="0080038B" w:rsidP="0080038B">
      <w:pPr>
        <w:pStyle w:val="ListParagraph"/>
        <w:numPr>
          <w:ilvl w:val="0"/>
          <w:numId w:val="2"/>
        </w:numPr>
        <w:jc w:val="left"/>
        <w:rPr>
          <w:rFonts w:ascii="Gadugi" w:hAnsi="Gadugi" w:cs="Courier New"/>
          <w:sz w:val="22"/>
          <w:szCs w:val="20"/>
          <w:lang w:val="en-GB"/>
        </w:rPr>
      </w:pPr>
      <w:r w:rsidRPr="001D745A">
        <w:rPr>
          <w:rFonts w:ascii="Gadugi" w:hAnsi="Gadugi" w:cs="Courier New"/>
          <w:sz w:val="22"/>
          <w:szCs w:val="20"/>
          <w:lang w:val="en-GB"/>
        </w:rPr>
        <w:t>Digitized plans for the town.</w:t>
      </w:r>
    </w:p>
    <w:p w14:paraId="0E6A9715" w14:textId="4B412BBC" w:rsidR="0080038B" w:rsidRDefault="0080038B" w:rsidP="0080038B">
      <w:pPr>
        <w:rPr>
          <w:rFonts w:ascii="Gadugi" w:hAnsi="Gadugi" w:cs="Courier New"/>
          <w:szCs w:val="20"/>
        </w:rPr>
      </w:pPr>
    </w:p>
    <w:p w14:paraId="18148E79" w14:textId="690B5B07" w:rsidR="0080038B" w:rsidRDefault="00F313B6" w:rsidP="0080038B">
      <w:pPr>
        <w:rPr>
          <w:rFonts w:ascii="Gadugi" w:hAnsi="Gadugi" w:cs="Courier New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E7BD8C" wp14:editId="742E7EE1">
                <wp:simplePos x="0" y="0"/>
                <wp:positionH relativeFrom="column">
                  <wp:posOffset>4071649</wp:posOffset>
                </wp:positionH>
                <wp:positionV relativeFrom="paragraph">
                  <wp:posOffset>237342</wp:posOffset>
                </wp:positionV>
                <wp:extent cx="2049145" cy="3121025"/>
                <wp:effectExtent l="0" t="0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9145" cy="312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50A6F" w14:textId="77777777" w:rsidR="00F313B6" w:rsidRPr="005E038D" w:rsidRDefault="00F313B6" w:rsidP="00F313B6">
                            <w:pPr>
                              <w:rPr>
                                <w:rFonts w:ascii="Gadugi" w:hAnsi="Gadugi" w:cs="Courier New"/>
                                <w:b/>
                              </w:rPr>
                            </w:pPr>
                            <w:r w:rsidRPr="005E038D">
                              <w:rPr>
                                <w:rFonts w:ascii="Gadugi" w:hAnsi="Gadugi" w:cs="Courier New"/>
                                <w:b/>
                              </w:rPr>
                              <w:t xml:space="preserve">Nodal Development and Consideration </w:t>
                            </w:r>
                          </w:p>
                          <w:p w14:paraId="0DEE3026" w14:textId="77777777" w:rsidR="00F313B6" w:rsidRPr="006664BC" w:rsidRDefault="00F313B6" w:rsidP="00F313B6">
                            <w:pPr>
                              <w:spacing w:line="276" w:lineRule="auto"/>
                              <w:rPr>
                                <w:rFonts w:ascii="Gadugi" w:hAnsi="Gadugi"/>
                              </w:rPr>
                            </w:pPr>
                            <w:r>
                              <w:rPr>
                                <w:rFonts w:ascii="Gadugi" w:eastAsia="Calibri" w:hAnsi="Gadugi" w:cs="Courier New"/>
                                <w:color w:val="000000"/>
                                <w:szCs w:val="20"/>
                              </w:rPr>
                              <w:t>Proposes</w:t>
                            </w:r>
                            <w:r w:rsidRPr="006664BC">
                              <w:rPr>
                                <w:rFonts w:ascii="Gadugi" w:eastAsia="Calibri" w:hAnsi="Gadugi" w:cs="Courier New"/>
                                <w:color w:val="000000"/>
                                <w:szCs w:val="20"/>
                              </w:rPr>
                              <w:t xml:space="preserve"> a hierarchy of nodes according the functions </w:t>
                            </w:r>
                            <w:r>
                              <w:rPr>
                                <w:rFonts w:ascii="Gadugi" w:eastAsia="Calibri" w:hAnsi="Gadugi" w:cs="Courier New"/>
                                <w:color w:val="000000"/>
                                <w:szCs w:val="20"/>
                              </w:rPr>
                              <w:t>served with t</w:t>
                            </w:r>
                            <w:r w:rsidRPr="006664BC">
                              <w:rPr>
                                <w:rFonts w:ascii="Gadugi" w:eastAsia="Calibri" w:hAnsi="Gadugi" w:cs="Courier New"/>
                                <w:color w:val="000000"/>
                                <w:szCs w:val="20"/>
                              </w:rPr>
                              <w:t>he CBD is as the principal node</w:t>
                            </w:r>
                            <w:r>
                              <w:rPr>
                                <w:rFonts w:ascii="Gadugi" w:eastAsia="Calibri" w:hAnsi="Gadugi" w:cs="Courier New"/>
                                <w:color w:val="000000"/>
                                <w:szCs w:val="20"/>
                              </w:rPr>
                              <w:t>. This is</w:t>
                            </w:r>
                            <w:r w:rsidRPr="006664BC">
                              <w:rPr>
                                <w:rFonts w:ascii="Gadugi" w:eastAsia="Calibri" w:hAnsi="Gadugi" w:cs="Courier New"/>
                                <w:color w:val="000000"/>
                                <w:szCs w:val="20"/>
                              </w:rPr>
                              <w:t xml:space="preserve"> due to it primacy in relation to other nodes providing high order goods</w:t>
                            </w:r>
                            <w:r>
                              <w:rPr>
                                <w:rFonts w:ascii="Gadugi" w:eastAsia="Calibri" w:hAnsi="Gadugi" w:cs="Courier New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 w:rsidRPr="006664BC">
                              <w:rPr>
                                <w:rFonts w:ascii="Gadugi" w:eastAsia="Calibri" w:hAnsi="Gadugi" w:cs="Courier New"/>
                                <w:color w:val="000000"/>
                                <w:szCs w:val="20"/>
                              </w:rPr>
                              <w:t>&amp; services, administrative, tourism, recreational and conferencing services. Other categories include secondary, tertiary and services centres</w:t>
                            </w:r>
                          </w:p>
                          <w:p w14:paraId="05B9E3E5" w14:textId="77777777" w:rsidR="00F313B6" w:rsidRPr="006664BC" w:rsidRDefault="00F313B6" w:rsidP="00F313B6">
                            <w:pPr>
                              <w:rPr>
                                <w:rFonts w:ascii="Gadugi" w:hAnsi="Gadug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7BD8C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320.6pt;margin-top:18.7pt;width:161.35pt;height:24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" filled="f" stroked="f" strokeweight=".5pt">
                <v:textbox>
                  <w:txbxContent>
                    <w:p w14:paraId="5F850A6F" w14:textId="77777777" w:rsidR="00F313B6" w:rsidRPr="005E038D" w:rsidRDefault="00F313B6" w:rsidP="00F313B6">
                      <w:pPr>
                        <w:rPr>
                          <w:rFonts w:ascii="Gadugi" w:hAnsi="Gadugi" w:cs="Courier New"/>
                          <w:b/>
                        </w:rPr>
                      </w:pPr>
                      <w:r w:rsidRPr="005E038D">
                        <w:rPr>
                          <w:rFonts w:ascii="Gadugi" w:hAnsi="Gadugi" w:cs="Courier New"/>
                          <w:b/>
                        </w:rPr>
                        <w:t xml:space="preserve">Nodal Development and Consideration </w:t>
                      </w:r>
                    </w:p>
                    <w:p w14:paraId="0DEE3026" w14:textId="77777777" w:rsidR="00F313B6" w:rsidRPr="006664BC" w:rsidRDefault="00F313B6" w:rsidP="00F313B6">
                      <w:pPr>
                        <w:spacing w:line="276" w:lineRule="auto"/>
                        <w:rPr>
                          <w:rFonts w:ascii="Gadugi" w:hAnsi="Gadugi"/>
                        </w:rPr>
                      </w:pPr>
                      <w:r>
                        <w:rPr>
                          <w:rFonts w:ascii="Gadugi" w:eastAsia="Calibri" w:hAnsi="Gadugi" w:cs="Courier New"/>
                          <w:color w:val="000000"/>
                          <w:szCs w:val="20"/>
                        </w:rPr>
                        <w:t>Proposes</w:t>
                      </w:r>
                      <w:r w:rsidRPr="006664BC">
                        <w:rPr>
                          <w:rFonts w:ascii="Gadugi" w:eastAsia="Calibri" w:hAnsi="Gadugi" w:cs="Courier New"/>
                          <w:color w:val="000000"/>
                          <w:szCs w:val="20"/>
                        </w:rPr>
                        <w:t xml:space="preserve"> a hierarchy of nodes according the functions </w:t>
                      </w:r>
                      <w:r>
                        <w:rPr>
                          <w:rFonts w:ascii="Gadugi" w:eastAsia="Calibri" w:hAnsi="Gadugi" w:cs="Courier New"/>
                          <w:color w:val="000000"/>
                          <w:szCs w:val="20"/>
                        </w:rPr>
                        <w:t>served with t</w:t>
                      </w:r>
                      <w:r w:rsidRPr="006664BC">
                        <w:rPr>
                          <w:rFonts w:ascii="Gadugi" w:eastAsia="Calibri" w:hAnsi="Gadugi" w:cs="Courier New"/>
                          <w:color w:val="000000"/>
                          <w:szCs w:val="20"/>
                        </w:rPr>
                        <w:t>he CBD is as the principal node</w:t>
                      </w:r>
                      <w:r>
                        <w:rPr>
                          <w:rFonts w:ascii="Gadugi" w:eastAsia="Calibri" w:hAnsi="Gadugi" w:cs="Courier New"/>
                          <w:color w:val="000000"/>
                          <w:szCs w:val="20"/>
                        </w:rPr>
                        <w:t>. This is</w:t>
                      </w:r>
                      <w:r w:rsidRPr="006664BC">
                        <w:rPr>
                          <w:rFonts w:ascii="Gadugi" w:eastAsia="Calibri" w:hAnsi="Gadugi" w:cs="Courier New"/>
                          <w:color w:val="000000"/>
                          <w:szCs w:val="20"/>
                        </w:rPr>
                        <w:t xml:space="preserve"> due to it primacy in relation to other nodes providing high order goods</w:t>
                      </w:r>
                      <w:r>
                        <w:rPr>
                          <w:rFonts w:ascii="Gadugi" w:eastAsia="Calibri" w:hAnsi="Gadugi" w:cs="Courier New"/>
                          <w:color w:val="000000"/>
                          <w:szCs w:val="20"/>
                        </w:rPr>
                        <w:t xml:space="preserve"> </w:t>
                      </w:r>
                      <w:r w:rsidRPr="006664BC">
                        <w:rPr>
                          <w:rFonts w:ascii="Gadugi" w:eastAsia="Calibri" w:hAnsi="Gadugi" w:cs="Courier New"/>
                          <w:color w:val="000000"/>
                          <w:szCs w:val="20"/>
                        </w:rPr>
                        <w:t>&amp; services, administrative, tourism, recreational and conferencing services. Other categories include secondary, tertiary and services centres</w:t>
                      </w:r>
                    </w:p>
                    <w:p w14:paraId="05B9E3E5" w14:textId="77777777" w:rsidR="00F313B6" w:rsidRPr="006664BC" w:rsidRDefault="00F313B6" w:rsidP="00F313B6">
                      <w:pPr>
                        <w:rPr>
                          <w:rFonts w:ascii="Gadugi" w:hAnsi="Gadug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67905" wp14:editId="43F05E7F">
                <wp:simplePos x="0" y="0"/>
                <wp:positionH relativeFrom="column">
                  <wp:posOffset>1921938</wp:posOffset>
                </wp:positionH>
                <wp:positionV relativeFrom="paragraph">
                  <wp:posOffset>243323</wp:posOffset>
                </wp:positionV>
                <wp:extent cx="2059305" cy="2658745"/>
                <wp:effectExtent l="0" t="0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59305" cy="2658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304C6" w14:textId="77777777" w:rsidR="00F313B6" w:rsidRPr="005E038D" w:rsidRDefault="00F313B6" w:rsidP="00F313B6">
                            <w:pPr>
                              <w:rPr>
                                <w:rFonts w:ascii="Gadugi" w:hAnsi="Gadugi" w:cs="Courier New"/>
                                <w:b/>
                              </w:rPr>
                            </w:pPr>
                            <w:r w:rsidRPr="005E038D">
                              <w:rPr>
                                <w:rFonts w:ascii="Gadugi" w:hAnsi="Gadugi" w:cs="Courier New"/>
                                <w:b/>
                              </w:rPr>
                              <w:t xml:space="preserve">Transit Oriented Development (TOD) </w:t>
                            </w:r>
                          </w:p>
                          <w:p w14:paraId="4F4B1784" w14:textId="77777777" w:rsidR="00F313B6" w:rsidRPr="005E038D" w:rsidRDefault="00F313B6" w:rsidP="00F313B6">
                            <w:pPr>
                              <w:rPr>
                                <w:rFonts w:ascii="Gadugi" w:eastAsia="Calibri" w:hAnsi="Gadugi" w:cs="Courier New"/>
                                <w:szCs w:val="20"/>
                              </w:rPr>
                            </w:pPr>
                            <w:r w:rsidRPr="005E038D">
                              <w:rPr>
                                <w:rFonts w:ascii="Gadugi" w:eastAsia="Calibri" w:hAnsi="Gadugi" w:cs="Courier New"/>
                                <w:szCs w:val="20"/>
                              </w:rPr>
                              <w:t xml:space="preserve">Promotes consolidation of high density and </w:t>
                            </w:r>
                            <w:proofErr w:type="gramStart"/>
                            <w:r w:rsidRPr="005E038D">
                              <w:rPr>
                                <w:rFonts w:ascii="Gadugi" w:eastAsia="Calibri" w:hAnsi="Gadugi" w:cs="Courier New"/>
                                <w:szCs w:val="20"/>
                              </w:rPr>
                              <w:t>mixed use</w:t>
                            </w:r>
                            <w:proofErr w:type="gramEnd"/>
                            <w:r w:rsidRPr="005E038D">
                              <w:rPr>
                                <w:rFonts w:ascii="Gadugi" w:eastAsia="Calibri" w:hAnsi="Gadugi" w:cs="Courier New"/>
                                <w:szCs w:val="20"/>
                              </w:rPr>
                              <w:t xml:space="preserve"> development</w:t>
                            </w:r>
                            <w:r>
                              <w:rPr>
                                <w:rFonts w:ascii="Gadugi" w:eastAsia="Calibri" w:hAnsi="Gadugi" w:cs="Courier New"/>
                                <w:szCs w:val="20"/>
                              </w:rPr>
                              <w:t>s</w:t>
                            </w:r>
                            <w:r w:rsidRPr="005E038D">
                              <w:rPr>
                                <w:rFonts w:ascii="Gadugi" w:eastAsia="Calibri" w:hAnsi="Gadugi" w:cs="Courier New"/>
                                <w:szCs w:val="20"/>
                              </w:rPr>
                              <w:t xml:space="preserve"> in close proximity to integrated transportation hubs. The intention is to intensify and diversify land uses within a </w:t>
                            </w:r>
                            <w:proofErr w:type="gramStart"/>
                            <w:r w:rsidRPr="005E038D">
                              <w:rPr>
                                <w:rFonts w:ascii="Gadugi" w:eastAsia="Calibri" w:hAnsi="Gadugi" w:cs="Courier New"/>
                                <w:szCs w:val="20"/>
                              </w:rPr>
                              <w:t>10 minute</w:t>
                            </w:r>
                            <w:proofErr w:type="gramEnd"/>
                            <w:r w:rsidRPr="005E038D">
                              <w:rPr>
                                <w:rFonts w:ascii="Gadugi" w:eastAsia="Calibri" w:hAnsi="Gadugi" w:cs="Courier New"/>
                                <w:szCs w:val="20"/>
                              </w:rPr>
                              <w:t xml:space="preserve"> walking distance (approximately 800 meters radius) from integrated transport stations.</w:t>
                            </w:r>
                          </w:p>
                          <w:p w14:paraId="0ED1F8E6" w14:textId="77777777" w:rsidR="00F313B6" w:rsidRDefault="00F313B6" w:rsidP="00F313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67905" id="Text Box 39" o:spid="_x0000_s1027" type="#_x0000_t202" style="position:absolute;margin-left:151.35pt;margin-top:19.15pt;width:162.15pt;height:20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" filled="f" stroked="f" strokeweight=".5pt">
                <v:textbox>
                  <w:txbxContent>
                    <w:p w14:paraId="5B3304C6" w14:textId="77777777" w:rsidR="00F313B6" w:rsidRPr="005E038D" w:rsidRDefault="00F313B6" w:rsidP="00F313B6">
                      <w:pPr>
                        <w:rPr>
                          <w:rFonts w:ascii="Gadugi" w:hAnsi="Gadugi" w:cs="Courier New"/>
                          <w:b/>
                        </w:rPr>
                      </w:pPr>
                      <w:r w:rsidRPr="005E038D">
                        <w:rPr>
                          <w:rFonts w:ascii="Gadugi" w:hAnsi="Gadugi" w:cs="Courier New"/>
                          <w:b/>
                        </w:rPr>
                        <w:t xml:space="preserve">Transit Oriented Development (TOD) </w:t>
                      </w:r>
                    </w:p>
                    <w:p w14:paraId="4F4B1784" w14:textId="77777777" w:rsidR="00F313B6" w:rsidRPr="005E038D" w:rsidRDefault="00F313B6" w:rsidP="00F313B6">
                      <w:pPr>
                        <w:rPr>
                          <w:rFonts w:ascii="Gadugi" w:eastAsia="Calibri" w:hAnsi="Gadugi" w:cs="Courier New"/>
                          <w:szCs w:val="20"/>
                        </w:rPr>
                      </w:pPr>
                      <w:r w:rsidRPr="005E038D">
                        <w:rPr>
                          <w:rFonts w:ascii="Gadugi" w:eastAsia="Calibri" w:hAnsi="Gadugi" w:cs="Courier New"/>
                          <w:szCs w:val="20"/>
                        </w:rPr>
                        <w:t xml:space="preserve">Promotes consolidation of high density and </w:t>
                      </w:r>
                      <w:proofErr w:type="gramStart"/>
                      <w:r w:rsidRPr="005E038D">
                        <w:rPr>
                          <w:rFonts w:ascii="Gadugi" w:eastAsia="Calibri" w:hAnsi="Gadugi" w:cs="Courier New"/>
                          <w:szCs w:val="20"/>
                        </w:rPr>
                        <w:t>mixed use</w:t>
                      </w:r>
                      <w:proofErr w:type="gramEnd"/>
                      <w:r w:rsidRPr="005E038D">
                        <w:rPr>
                          <w:rFonts w:ascii="Gadugi" w:eastAsia="Calibri" w:hAnsi="Gadugi" w:cs="Courier New"/>
                          <w:szCs w:val="20"/>
                        </w:rPr>
                        <w:t xml:space="preserve"> development</w:t>
                      </w:r>
                      <w:r>
                        <w:rPr>
                          <w:rFonts w:ascii="Gadugi" w:eastAsia="Calibri" w:hAnsi="Gadugi" w:cs="Courier New"/>
                          <w:szCs w:val="20"/>
                        </w:rPr>
                        <w:t>s</w:t>
                      </w:r>
                      <w:r w:rsidRPr="005E038D">
                        <w:rPr>
                          <w:rFonts w:ascii="Gadugi" w:eastAsia="Calibri" w:hAnsi="Gadugi" w:cs="Courier New"/>
                          <w:szCs w:val="20"/>
                        </w:rPr>
                        <w:t xml:space="preserve"> in close proximity to integrated transportation hubs. The intention is to intensify and diversify land uses within a </w:t>
                      </w:r>
                      <w:proofErr w:type="gramStart"/>
                      <w:r w:rsidRPr="005E038D">
                        <w:rPr>
                          <w:rFonts w:ascii="Gadugi" w:eastAsia="Calibri" w:hAnsi="Gadugi" w:cs="Courier New"/>
                          <w:szCs w:val="20"/>
                        </w:rPr>
                        <w:t>10 minute</w:t>
                      </w:r>
                      <w:proofErr w:type="gramEnd"/>
                      <w:r w:rsidRPr="005E038D">
                        <w:rPr>
                          <w:rFonts w:ascii="Gadugi" w:eastAsia="Calibri" w:hAnsi="Gadugi" w:cs="Courier New"/>
                          <w:szCs w:val="20"/>
                        </w:rPr>
                        <w:t xml:space="preserve"> walking distance (approximately 800 meters radius) from integrated transport stations.</w:t>
                      </w:r>
                    </w:p>
                    <w:p w14:paraId="0ED1F8E6" w14:textId="77777777" w:rsidR="00F313B6" w:rsidRDefault="00F313B6" w:rsidP="00F313B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04AD25" wp14:editId="64AB0648">
                <wp:simplePos x="0" y="0"/>
                <wp:positionH relativeFrom="column">
                  <wp:posOffset>0</wp:posOffset>
                </wp:positionH>
                <wp:positionV relativeFrom="paragraph">
                  <wp:posOffset>259094</wp:posOffset>
                </wp:positionV>
                <wp:extent cx="1922145" cy="2343785"/>
                <wp:effectExtent l="0" t="0" r="0" b="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22145" cy="2343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2EAFC" w14:textId="77777777" w:rsidR="00F313B6" w:rsidRDefault="00F313B6" w:rsidP="00F313B6">
                            <w:pPr>
                              <w:rPr>
                                <w:rFonts w:ascii="Gadugi" w:hAnsi="Gadugi"/>
                                <w:b/>
                              </w:rPr>
                            </w:pPr>
                            <w:r>
                              <w:rPr>
                                <w:rFonts w:ascii="Gadugi" w:hAnsi="Gadugi"/>
                                <w:b/>
                              </w:rPr>
                              <w:t xml:space="preserve">Compact Neighbourhood Concept </w:t>
                            </w:r>
                          </w:p>
                          <w:p w14:paraId="302D6ED5" w14:textId="5F55A8B2" w:rsidR="00F313B6" w:rsidRPr="00855C3C" w:rsidRDefault="00F313B6" w:rsidP="00F313B6">
                            <w:pPr>
                              <w:rPr>
                                <w:rFonts w:ascii="Gadugi" w:eastAsia="Calibri" w:hAnsi="Gadugi" w:cs="Courier New"/>
                                <w:szCs w:val="20"/>
                              </w:rPr>
                            </w:pPr>
                            <w:r>
                              <w:rPr>
                                <w:rFonts w:ascii="Gadugi" w:hAnsi="Gadugi"/>
                              </w:rPr>
                              <w:t>The concept was considered to a</w:t>
                            </w:r>
                            <w:r w:rsidRPr="00855C3C">
                              <w:rPr>
                                <w:rFonts w:ascii="Gadugi" w:eastAsia="Calibri" w:hAnsi="Gadugi" w:cs="Courier New"/>
                                <w:szCs w:val="20"/>
                              </w:rPr>
                              <w:t>void Sprawl</w:t>
                            </w:r>
                            <w:r>
                              <w:rPr>
                                <w:rFonts w:ascii="Gadugi" w:eastAsia="Calibri" w:hAnsi="Gadugi" w:cs="Courier New"/>
                                <w:szCs w:val="20"/>
                              </w:rPr>
                              <w:t xml:space="preserve"> and p</w:t>
                            </w:r>
                            <w:r w:rsidRPr="00855C3C">
                              <w:rPr>
                                <w:rFonts w:ascii="Gadugi" w:eastAsia="Calibri" w:hAnsi="Gadugi" w:cs="Courier New"/>
                                <w:szCs w:val="20"/>
                              </w:rPr>
                              <w:t>romote Urban Intensification</w:t>
                            </w:r>
                            <w:r>
                              <w:rPr>
                                <w:rFonts w:ascii="Gadugi" w:eastAsia="Calibri" w:hAnsi="Gadugi" w:cs="Courier New"/>
                                <w:szCs w:val="20"/>
                              </w:rPr>
                              <w:t xml:space="preserve"> through TOD n</w:t>
                            </w:r>
                            <w:r w:rsidRPr="00855C3C">
                              <w:rPr>
                                <w:rFonts w:ascii="Gadugi" w:eastAsia="Calibri" w:hAnsi="Gadugi" w:cs="Courier New"/>
                                <w:szCs w:val="20"/>
                              </w:rPr>
                              <w:t>eighbourhoods.</w:t>
                            </w:r>
                          </w:p>
                          <w:p w14:paraId="5A01BE70" w14:textId="77777777" w:rsidR="00F313B6" w:rsidRPr="00855C3C" w:rsidRDefault="00F313B6" w:rsidP="00F313B6">
                            <w:pPr>
                              <w:rPr>
                                <w:rFonts w:ascii="Gadugi" w:hAnsi="Gadug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4AD25" id="Text Box 41" o:spid="_x0000_s1028" type="#_x0000_t202" style="position:absolute;margin-left:0;margin-top:20.4pt;width:151.35pt;height:18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" filled="f" stroked="f" strokeweight=".5pt">
                <v:textbox>
                  <w:txbxContent>
                    <w:p w14:paraId="06F2EAFC" w14:textId="77777777" w:rsidR="00F313B6" w:rsidRDefault="00F313B6" w:rsidP="00F313B6">
                      <w:pPr>
                        <w:rPr>
                          <w:rFonts w:ascii="Gadugi" w:hAnsi="Gadugi"/>
                          <w:b/>
                        </w:rPr>
                      </w:pPr>
                      <w:r>
                        <w:rPr>
                          <w:rFonts w:ascii="Gadugi" w:hAnsi="Gadugi"/>
                          <w:b/>
                        </w:rPr>
                        <w:t xml:space="preserve">Compact Neighbourhood Concept </w:t>
                      </w:r>
                    </w:p>
                    <w:p w14:paraId="302D6ED5" w14:textId="5F55A8B2" w:rsidR="00F313B6" w:rsidRPr="00855C3C" w:rsidRDefault="00F313B6" w:rsidP="00F313B6">
                      <w:pPr>
                        <w:rPr>
                          <w:rFonts w:ascii="Gadugi" w:eastAsia="Calibri" w:hAnsi="Gadugi" w:cs="Courier New"/>
                          <w:szCs w:val="20"/>
                        </w:rPr>
                      </w:pPr>
                      <w:r>
                        <w:rPr>
                          <w:rFonts w:ascii="Gadugi" w:hAnsi="Gadugi"/>
                        </w:rPr>
                        <w:t>The concept was considered to a</w:t>
                      </w:r>
                      <w:r w:rsidRPr="00855C3C">
                        <w:rPr>
                          <w:rFonts w:ascii="Gadugi" w:eastAsia="Calibri" w:hAnsi="Gadugi" w:cs="Courier New"/>
                          <w:szCs w:val="20"/>
                        </w:rPr>
                        <w:t>void Sprawl</w:t>
                      </w:r>
                      <w:r>
                        <w:rPr>
                          <w:rFonts w:ascii="Gadugi" w:eastAsia="Calibri" w:hAnsi="Gadugi" w:cs="Courier New"/>
                          <w:szCs w:val="20"/>
                        </w:rPr>
                        <w:t xml:space="preserve"> and p</w:t>
                      </w:r>
                      <w:r w:rsidRPr="00855C3C">
                        <w:rPr>
                          <w:rFonts w:ascii="Gadugi" w:eastAsia="Calibri" w:hAnsi="Gadugi" w:cs="Courier New"/>
                          <w:szCs w:val="20"/>
                        </w:rPr>
                        <w:t>romote Urban Intensification</w:t>
                      </w:r>
                      <w:r>
                        <w:rPr>
                          <w:rFonts w:ascii="Gadugi" w:eastAsia="Calibri" w:hAnsi="Gadugi" w:cs="Courier New"/>
                          <w:szCs w:val="20"/>
                        </w:rPr>
                        <w:t xml:space="preserve"> through TOD </w:t>
                      </w:r>
                      <w:r>
                        <w:rPr>
                          <w:rFonts w:ascii="Gadugi" w:eastAsia="Calibri" w:hAnsi="Gadugi" w:cs="Courier New"/>
                          <w:szCs w:val="20"/>
                        </w:rPr>
                        <w:t>n</w:t>
                      </w:r>
                      <w:r w:rsidRPr="00855C3C">
                        <w:rPr>
                          <w:rFonts w:ascii="Gadugi" w:eastAsia="Calibri" w:hAnsi="Gadugi" w:cs="Courier New"/>
                          <w:szCs w:val="20"/>
                        </w:rPr>
                        <w:t>eighbourhoods</w:t>
                      </w:r>
                      <w:r w:rsidRPr="00855C3C">
                        <w:rPr>
                          <w:rFonts w:ascii="Gadugi" w:eastAsia="Calibri" w:hAnsi="Gadugi" w:cs="Courier New"/>
                          <w:szCs w:val="20"/>
                        </w:rPr>
                        <w:t>.</w:t>
                      </w:r>
                    </w:p>
                    <w:p w14:paraId="5A01BE70" w14:textId="77777777" w:rsidR="00F313B6" w:rsidRPr="00855C3C" w:rsidRDefault="00F313B6" w:rsidP="00F313B6">
                      <w:pPr>
                        <w:rPr>
                          <w:rFonts w:ascii="Gadugi" w:hAnsi="Gadug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838C04" w14:textId="04A12CC5" w:rsidR="0080038B" w:rsidRPr="0080038B" w:rsidRDefault="0080038B" w:rsidP="0080038B">
      <w:pPr>
        <w:rPr>
          <w:rFonts w:ascii="Gadugi" w:hAnsi="Gadugi" w:cs="Courier New"/>
          <w:szCs w:val="20"/>
        </w:rPr>
      </w:pPr>
    </w:p>
    <w:p w14:paraId="7E19E686" w14:textId="77777777" w:rsidR="0080038B" w:rsidRDefault="0080038B" w:rsidP="00B87B7D">
      <w:pPr>
        <w:spacing w:line="360" w:lineRule="auto"/>
        <w:jc w:val="both"/>
        <w:rPr>
          <w:rFonts w:ascii="Gadugi" w:hAnsi="Gadugi" w:cs="Courier New"/>
          <w:spacing w:val="-2"/>
        </w:rPr>
      </w:pPr>
    </w:p>
    <w:p w14:paraId="165429D1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35D4E59B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43794B5E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1F4D29BF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6E473AA2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3DA1462C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6F0DE06C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0267724B" w14:textId="73B0185F" w:rsid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45A3E5E1" w14:textId="6FEA7650" w:rsidR="00F313B6" w:rsidRDefault="00F313B6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10C9DE44" w14:textId="2B608C47" w:rsidR="00F313B6" w:rsidRDefault="00F313B6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31F254C3" w14:textId="38AA95EE" w:rsidR="00F313B6" w:rsidRDefault="00F313B6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0346A42E" w14:textId="48152E96" w:rsidR="00F313B6" w:rsidRDefault="00F313B6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6FA8FAF8" w14:textId="77777777" w:rsidR="00F313B6" w:rsidRPr="00B26480" w:rsidRDefault="00F313B6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sectPr w:rsidR="00F313B6" w:rsidRPr="00B26480" w:rsidSect="00B87B7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dugi">
    <w:panose1 w:val="020B0502040204020203"/>
    <w:charset w:val="00"/>
    <w:family w:val="swiss"/>
    <w:pitch w:val="variable"/>
    <w:sig w:usb0="0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64E37"/>
    <w:multiLevelType w:val="hybridMultilevel"/>
    <w:tmpl w:val="A56EF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C120FF"/>
    <w:multiLevelType w:val="hybridMultilevel"/>
    <w:tmpl w:val="16AC26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5A7393"/>
    <w:multiLevelType w:val="hybridMultilevel"/>
    <w:tmpl w:val="60700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42DB3"/>
    <w:multiLevelType w:val="hybridMultilevel"/>
    <w:tmpl w:val="D54682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70655624">
    <w:abstractNumId w:val="1"/>
  </w:num>
  <w:num w:numId="2" w16cid:durableId="1959599166">
    <w:abstractNumId w:val="2"/>
  </w:num>
  <w:num w:numId="3" w16cid:durableId="1902864364">
    <w:abstractNumId w:val="3"/>
  </w:num>
  <w:num w:numId="4" w16cid:durableId="1994798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480"/>
    <w:rsid w:val="000C73EF"/>
    <w:rsid w:val="00431849"/>
    <w:rsid w:val="00695A44"/>
    <w:rsid w:val="0080038B"/>
    <w:rsid w:val="00B26480"/>
    <w:rsid w:val="00B87B7D"/>
    <w:rsid w:val="00C05FBC"/>
    <w:rsid w:val="00C747F6"/>
    <w:rsid w:val="00F3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851A"/>
  <w15:chartTrackingRefBased/>
  <w15:docId w15:val="{CC3D2ABE-FB30-4AE2-9079-C425483C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C747F6"/>
    <w:pPr>
      <w:keepNext/>
      <w:spacing w:before="240" w:after="60" w:line="240" w:lineRule="auto"/>
      <w:jc w:val="center"/>
      <w:outlineLvl w:val="0"/>
    </w:pPr>
    <w:rPr>
      <w:rFonts w:ascii="Bookman Old Style" w:eastAsia="Times New Roman" w:hAnsi="Bookman Old Style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C747F6"/>
    <w:pPr>
      <w:keepNext/>
      <w:spacing w:after="0" w:line="240" w:lineRule="auto"/>
      <w:ind w:left="990"/>
      <w:jc w:val="center"/>
      <w:outlineLvl w:val="1"/>
    </w:pPr>
    <w:rPr>
      <w:rFonts w:ascii="Bookman Old Style" w:eastAsia="Times New Roman" w:hAnsi="Bookman Old Style" w:cs="Calibri"/>
      <w:b/>
      <w:color w:val="000000" w:themeColor="text1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47F6"/>
    <w:rPr>
      <w:rFonts w:ascii="Bookman Old Style" w:eastAsia="Times New Roman" w:hAnsi="Bookman Old Style" w:cs="Arial"/>
      <w:b/>
      <w:bCs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C747F6"/>
    <w:rPr>
      <w:rFonts w:ascii="Bookman Old Style" w:eastAsia="Times New Roman" w:hAnsi="Bookman Old Style" w:cs="Calibri"/>
      <w:b/>
      <w:color w:val="000000" w:themeColor="text1"/>
      <w:sz w:val="48"/>
    </w:rPr>
  </w:style>
  <w:style w:type="paragraph" w:styleId="ListParagraph">
    <w:name w:val="List Paragraph"/>
    <w:aliases w:val="heading 6,Grey Bullet List,Grey Bullet Style,Table bullet,numbers normal cal,List Paragraph1,Table of contents numbered,Riana Table Bullets 1,List Paragraph - 2,Paragraph,Paragraphe de liste PBLH,Normal bullet 2,Bullet list,Resume Title,H"/>
    <w:basedOn w:val="Normal"/>
    <w:link w:val="ListParagraphChar"/>
    <w:uiPriority w:val="34"/>
    <w:qFormat/>
    <w:rsid w:val="00C747F6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color w:val="000000"/>
      <w:sz w:val="20"/>
      <w:szCs w:val="24"/>
      <w:lang w:val="en-US"/>
    </w:rPr>
  </w:style>
  <w:style w:type="character" w:customStyle="1" w:styleId="ListParagraphChar">
    <w:name w:val="List Paragraph Char"/>
    <w:aliases w:val="heading 6 Char,Grey Bullet List Char,Grey Bullet Style Char,Table bullet Char,numbers normal cal Char,List Paragraph1 Char,Table of contents numbered Char,Riana Table Bullets 1 Char,List Paragraph - 2 Char,Paragraph Char,H Char"/>
    <w:link w:val="ListParagraph"/>
    <w:uiPriority w:val="34"/>
    <w:qFormat/>
    <w:locked/>
    <w:rsid w:val="00C747F6"/>
    <w:rPr>
      <w:rFonts w:ascii="Arial" w:eastAsia="Times New Roman" w:hAnsi="Arial" w:cs="Times New Roman"/>
      <w:color w:val="000000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3A2DD-49AF-42E4-A1CD-645E76EDA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Muthoka</dc:creator>
  <cp:keywords/>
  <dc:description/>
  <cp:lastModifiedBy>Allan Muthoka</cp:lastModifiedBy>
  <cp:revision>8</cp:revision>
  <dcterms:created xsi:type="dcterms:W3CDTF">2016-01-19T09:05:00Z</dcterms:created>
  <dcterms:modified xsi:type="dcterms:W3CDTF">2024-09-05T08:42:00Z</dcterms:modified>
</cp:coreProperties>
</file>