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jc w:val="center"/>
        <w:rPr>
          <w:rFonts w:ascii="Arial" w:hAnsi="Arial" w:cs="Arial"/>
          <w:b/>
          <w:b/>
        </w:rPr>
      </w:pPr>
      <w:r>
        <w:rPr>
          <w:rFonts w:ascii="Arial" w:hAnsi="Arial" w:cs="Arial"/>
          <w:b/>
          <w:sz w:val="28"/>
          <w:szCs w:val="28"/>
        </w:rPr>
        <w:t>银行函证核对表</w:t>
      </w:r>
    </w:p>
    <w:p>
      <w:pPr>
        <w:pStyle w:val="Style15"/>
        <w:spacing w:lineRule="exact" w:line="120"/>
        <w:jc w:val="center"/>
        <w:rPr>
          <w:rFonts w:ascii="Arial" w:hAnsi="Arial" w:cs="Arial"/>
          <w:b/>
          <w:b/>
        </w:rPr>
      </w:pPr>
      <w:r>
        <w:rPr>
          <w:rFonts w:cs="Arial" w:ascii="Arial" w:hAnsi="Arial"/>
          <w:b/>
        </w:rPr>
      </w:r>
    </w:p>
    <w:p>
      <w:pPr>
        <w:pStyle w:val="Style15"/>
        <w:spacing w:lineRule="auto" w:line="360"/>
        <w:rPr>
          <w:rFonts w:ascii="Arial" w:hAnsi="Arial" w:cs="Arial"/>
          <w:b/>
          <w:b/>
        </w:rPr>
      </w:pPr>
      <w:r>
        <w:rPr>
          <w:rFonts w:ascii="Arial" w:hAnsi="Arial" w:cs="Arial"/>
          <w:b/>
        </w:rPr>
        <w:t>被审计单位：</w:t>
      </w:r>
      <w:r>
        <w:rPr>
          <w:rFonts w:ascii="Arial" w:hAnsi="Arial" w:cs="Arial" w:eastAsia="Arial"/>
          <w:b/>
        </w:rPr>
        <w:t xml:space="preserve">                                    </w:t>
      </w:r>
      <w:r>
        <w:rPr>
          <w:rFonts w:ascii="Arial" w:hAnsi="Arial" w:cs="Arial"/>
          <w:b/>
        </w:rPr>
        <w:t>索引号：</w:t>
      </w:r>
      <w:r>
        <w:rPr>
          <w:rFonts w:cs="Arial" w:ascii="Arial" w:hAnsi="Arial"/>
          <w:b/>
        </w:rPr>
        <w:t>4100-4</w:t>
      </w:r>
    </w:p>
    <w:p>
      <w:pPr>
        <w:pStyle w:val="Style15"/>
        <w:spacing w:lineRule="auto" w:line="360"/>
        <w:rPr>
          <w:rFonts w:ascii="Arial" w:hAnsi="Arial" w:cs="Arial"/>
          <w:b/>
          <w:b/>
        </w:rPr>
      </w:pPr>
      <w:r>
        <w:rPr>
          <w:rFonts w:ascii="Arial" w:hAnsi="Arial" w:cs="Arial"/>
          <w:b/>
        </w:rPr>
        <w:t>财务报表截止日：</w:t>
      </w:r>
    </w:p>
    <w:p>
      <w:pPr>
        <w:pStyle w:val="Style15"/>
        <w:spacing w:lineRule="auto" w:line="360"/>
        <w:rPr>
          <w:rFonts w:ascii="Arial" w:hAnsi="Arial" w:cs="Arial"/>
          <w:b/>
          <w:b/>
        </w:rPr>
      </w:pPr>
      <w:r>
        <w:rPr>
          <w:rFonts w:cs="Arial" w:ascii="Arial" w:hAnsi="Arial"/>
          <w:b/>
        </w:rPr>
      </w:r>
    </w:p>
    <w:tbl>
      <w:tblPr>
        <w:tblW w:w="10075" w:type="dxa"/>
        <w:jc w:val="left"/>
        <w:tblInd w:w="-606"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37"/>
        <w:gridCol w:w="14"/>
        <w:gridCol w:w="924"/>
        <w:gridCol w:w="94"/>
        <w:gridCol w:w="2296"/>
        <w:gridCol w:w="88"/>
        <w:gridCol w:w="899"/>
        <w:gridCol w:w="87"/>
        <w:gridCol w:w="2556"/>
        <w:gridCol w:w="1136"/>
        <w:gridCol w:w="1144"/>
      </w:tblGrid>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lang w:val="en-GB"/>
              </w:rPr>
            </w:pPr>
            <w:r>
              <w:rPr>
                <w:rFonts w:eastAsia="黑体;SimHei" w:cs="Arial" w:ascii="Arial" w:hAnsi="Arial"/>
                <w:b/>
                <w:sz w:val="19"/>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执行人</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项目复核经理</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eastAsia="黑体;SimHei" w:cs="Arial"/>
                <w:sz w:val="19"/>
                <w:lang w:val="en-GB"/>
              </w:rPr>
            </w:pPr>
            <w:r>
              <w:rPr>
                <w:rFonts w:ascii="Arial" w:hAnsi="Arial" w:cs="Arial"/>
                <w:b/>
                <w:lang w:val="en-GB"/>
              </w:rPr>
              <w:t>初步计划</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sz w:val="19"/>
                <w:lang w:val="en-GB"/>
              </w:rPr>
            </w:pPr>
            <w:r>
              <w:rPr>
                <w:rFonts w:eastAsia="黑体;SimHei" w:cs="Arial" w:ascii="Arial" w:hAnsi="Arial"/>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sz w:val="19"/>
                <w:lang w:val="en-GB"/>
              </w:rPr>
            </w:pPr>
            <w:r>
              <w:rPr>
                <w:rFonts w:eastAsia="黑体;SimHei" w:cs="Arial" w:ascii="Arial" w:hAnsi="Arial"/>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eastAsia="黑体;SimHei" w:cs="Arial"/>
                <w:sz w:val="19"/>
                <w:lang w:val="en-GB"/>
              </w:rPr>
            </w:pPr>
            <w:r>
              <w:rPr>
                <w:rFonts w:eastAsia="黑体;SimHei" w:cs="Arial" w:ascii="Arial" w:hAnsi="Arial"/>
                <w:sz w:val="19"/>
                <w:lang w:val="en-GB"/>
              </w:rPr>
              <w:t>(1)</w:t>
            </w:r>
            <w:r>
              <w:rPr>
                <w:rFonts w:ascii="Arial" w:hAnsi="Arial" w:cs="Arial"/>
                <w:szCs w:val="21"/>
                <w:lang w:val="en-GB"/>
              </w:rPr>
              <w:t>函证程序的计划包括函证方法及时间，在银行余额被确认日前，且在执行函证前与客户进行讨论并使其认可。</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eastAsia="楷体_GB2312" w:cs="楷体_GB2312" w:ascii="楷体_GB2312" w:hAnsi="楷体_GB2312"/>
                <w:color w:val="0000FF"/>
                <w:szCs w:val="21"/>
                <w:lang w:val="en-GB"/>
              </w:rPr>
              <w:t xml:space="preserve">    </w:t>
            </w:r>
            <w:r>
              <w:rPr>
                <w:rFonts w:ascii="楷体_GB2312" w:hAnsi="楷体_GB2312" w:cs="Arial" w:eastAsia="楷体_GB2312"/>
                <w:color w:val="0000FF"/>
                <w:szCs w:val="21"/>
                <w:lang w:val="en-GB"/>
              </w:rPr>
              <w:t>通常，银行询证函应邮寄或亲自送达至该公司在本年度内有存款或贷款业务的所有银行。</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261" w:hRule="atLeast"/>
        </w:trPr>
        <w:tc>
          <w:tcPr>
            <w:tcW w:w="177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6020"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261" w:hRule="atLeast"/>
        </w:trPr>
        <w:tc>
          <w:tcPr>
            <w:tcW w:w="177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 w:val="19"/>
                <w:u w:val="single"/>
                <w:lang w:val="en-GB"/>
              </w:rPr>
              <w:t>本阶段签署</w:t>
            </w:r>
            <w:r>
              <w:rPr>
                <w:rFonts w:cs="Arial" w:ascii="Arial" w:hAnsi="Arial"/>
                <w:b/>
                <w:sz w:val="19"/>
                <w:u w:val="single"/>
                <w:lang w:val="en-GB"/>
              </w:rPr>
              <w:t>:</w:t>
            </w:r>
          </w:p>
        </w:tc>
        <w:tc>
          <w:tcPr>
            <w:tcW w:w="6020" w:type="dxa"/>
            <w:gridSpan w:val="6"/>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spacing w:lineRule="auto" w:line="360"/>
              <w:rPr>
                <w:rFonts w:ascii="Arial" w:hAnsi="Arial" w:cs="Arial"/>
                <w:b/>
                <w:b/>
                <w:sz w:val="19"/>
                <w:u w:val="single"/>
                <w:lang w:val="en-GB"/>
              </w:rPr>
            </w:pPr>
            <w:r>
              <w:rPr>
                <w:rFonts w:cs="Arial" w:ascii="Arial" w:hAnsi="Arial"/>
                <w:b/>
                <w:sz w:val="19"/>
                <w:u w:val="single"/>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u w:val="single"/>
                <w:lang w:val="en-GB"/>
              </w:rPr>
            </w:pPr>
            <w:r>
              <w:rPr>
                <w:rFonts w:eastAsia="黑体;SimHei" w:cs="Arial" w:ascii="Arial" w:hAnsi="Arial"/>
                <w:b/>
                <w:sz w:val="19"/>
                <w:u w:val="single"/>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u w:val="single"/>
                <w:lang w:val="en-GB"/>
              </w:rPr>
            </w:pPr>
            <w:r>
              <w:rPr>
                <w:rFonts w:eastAsia="黑体;SimHei" w:cs="Arial" w:ascii="Arial" w:hAnsi="Arial"/>
                <w:b/>
                <w:sz w:val="19"/>
                <w:u w:val="single"/>
                <w:lang w:val="en-GB"/>
              </w:rPr>
            </w:r>
          </w:p>
        </w:tc>
      </w:tr>
      <w:tr>
        <w:trPr>
          <w:trHeight w:val="261" w:hRule="atLeast"/>
        </w:trPr>
        <w:tc>
          <w:tcPr>
            <w:tcW w:w="177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Arial" w:hAnsi="Arial" w:cs="Arial"/>
                <w:b/>
                <w:b/>
                <w:sz w:val="19"/>
                <w:lang w:val="en-GB"/>
              </w:rPr>
            </w:pPr>
            <w:r>
              <w:rPr>
                <w:rFonts w:ascii="Arial" w:hAnsi="Arial" w:cs="Arial"/>
                <w:b/>
                <w:sz w:val="19"/>
                <w:lang w:val="en-GB"/>
              </w:rPr>
              <w:t>项目复核经理：</w:t>
            </w:r>
          </w:p>
        </w:tc>
        <w:tc>
          <w:tcPr>
            <w:tcW w:w="239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spacing w:lineRule="auto" w:line="360"/>
              <w:rPr>
                <w:rFonts w:ascii="Arial" w:hAnsi="Arial" w:cs="Arial"/>
                <w:b/>
                <w:b/>
                <w:sz w:val="19"/>
                <w:lang w:val="en-GB"/>
              </w:rPr>
            </w:pPr>
            <w:r>
              <w:rPr>
                <w:rFonts w:cs="Arial" w:ascii="Arial" w:hAnsi="Arial"/>
                <w:b/>
                <w:sz w:val="19"/>
                <w:lang w:val="en-GB"/>
              </w:rPr>
            </w:r>
          </w:p>
        </w:tc>
        <w:tc>
          <w:tcPr>
            <w:tcW w:w="987"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 w:val="19"/>
                <w:lang w:val="en-GB"/>
              </w:rPr>
              <w:t>日期</w:t>
            </w:r>
            <w:r>
              <w:rPr>
                <w:rFonts w:cs="Arial" w:ascii="Arial" w:hAnsi="Arial"/>
                <w:b/>
                <w:sz w:val="19"/>
                <w:lang w:val="en-GB"/>
              </w:rPr>
              <w:t>:</w:t>
            </w:r>
          </w:p>
        </w:tc>
        <w:tc>
          <w:tcPr>
            <w:tcW w:w="264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261" w:hRule="atLeast"/>
        </w:trPr>
        <w:tc>
          <w:tcPr>
            <w:tcW w:w="177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 w:val="19"/>
                <w:lang w:val="en-GB"/>
              </w:rPr>
              <w:t>项目经理</w:t>
            </w:r>
            <w:r>
              <w:rPr>
                <w:rFonts w:cs="Arial" w:ascii="Arial" w:hAnsi="Arial"/>
                <w:b/>
                <w:sz w:val="19"/>
                <w:lang w:val="en-GB"/>
              </w:rPr>
              <w:t>:</w:t>
            </w:r>
          </w:p>
        </w:tc>
        <w:tc>
          <w:tcPr>
            <w:tcW w:w="2390"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spacing w:lineRule="auto" w:line="360"/>
              <w:rPr>
                <w:rFonts w:ascii="Arial" w:hAnsi="Arial" w:cs="Arial"/>
                <w:b/>
                <w:b/>
                <w:sz w:val="19"/>
                <w:lang w:val="en-GB"/>
              </w:rPr>
            </w:pPr>
            <w:r>
              <w:rPr>
                <w:rFonts w:cs="Arial" w:ascii="Arial" w:hAnsi="Arial"/>
                <w:b/>
                <w:sz w:val="19"/>
                <w:lang w:val="en-GB"/>
              </w:rPr>
            </w:r>
          </w:p>
        </w:tc>
        <w:tc>
          <w:tcPr>
            <w:tcW w:w="987"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 w:val="19"/>
                <w:lang w:val="en-GB"/>
              </w:rPr>
              <w:t>日期</w:t>
            </w:r>
            <w:r>
              <w:rPr>
                <w:rFonts w:cs="Arial" w:ascii="Arial" w:hAnsi="Arial"/>
                <w:b/>
                <w:sz w:val="19"/>
                <w:lang w:val="en-GB"/>
              </w:rPr>
              <w:t>:</w:t>
            </w:r>
          </w:p>
        </w:tc>
        <w:tc>
          <w:tcPr>
            <w:tcW w:w="2643"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58" w:hRule="atLeast"/>
        </w:trPr>
        <w:tc>
          <w:tcPr>
            <w:tcW w:w="1007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Cs w:val="21"/>
                <w:lang w:val="en-GB"/>
              </w:rPr>
            </w:pPr>
            <w:r>
              <w:rPr>
                <w:rFonts w:eastAsia="黑体;SimHei" w:cs="Arial" w:ascii="Arial" w:hAnsi="Arial"/>
                <w:b/>
                <w:szCs w:val="21"/>
                <w:lang w:val="en-GB"/>
              </w:rPr>
            </w:r>
          </w:p>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ascii="Arial" w:hAnsi="Arial" w:cs="Arial"/>
                <w:b/>
                <w:szCs w:val="21"/>
                <w:lang w:val="en-GB"/>
              </w:rPr>
              <w:t>选取函证项目</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执行人</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项目复核经理</w:t>
            </w:r>
          </w:p>
        </w:tc>
      </w:tr>
      <w:tr>
        <w:trPr>
          <w:trHeight w:val="423" w:hRule="atLeast"/>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(2)</w:t>
            </w:r>
            <w:r>
              <w:rPr>
                <w:rFonts w:ascii="Arial" w:hAnsi="Arial" w:cs="Arial"/>
                <w:szCs w:val="21"/>
                <w:lang w:val="en-GB"/>
              </w:rPr>
              <w:t>应实施充分的工作以确保银行余额的完整性。</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eastAsia="楷体_GB2312" w:cs="楷体_GB2312" w:ascii="楷体_GB2312" w:hAnsi="楷体_GB2312"/>
                <w:color w:val="0000FF"/>
                <w:szCs w:val="21"/>
                <w:lang w:val="en-GB"/>
              </w:rPr>
              <w:t xml:space="preserve">  </w:t>
            </w:r>
            <w:r>
              <w:rPr>
                <w:rFonts w:ascii="楷体_GB2312" w:hAnsi="楷体_GB2312" w:cs="Arial" w:eastAsia="楷体_GB2312"/>
                <w:color w:val="0000FF"/>
                <w:szCs w:val="21"/>
                <w:lang w:val="en-GB"/>
              </w:rPr>
              <w:t>编制前，应：</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(a)</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与客户进行讨论以便取得客户所有开户银行、在每家银行分别开立的账户以及有关贷款及类似合同的完整清单。</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(b)</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将银行余额的明细表与试算平衡表调整一致。</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(c)</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使用以前年度工作底稿以确定该客户是否存在在本期间已经或可能已经注销了的账户。</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(3)</w:t>
            </w:r>
            <w:r>
              <w:rPr>
                <w:rFonts w:ascii="Arial" w:hAnsi="Arial" w:cs="Arial"/>
                <w:szCs w:val="21"/>
                <w:lang w:val="en-GB"/>
              </w:rPr>
              <w:t>即使在本期间银行账户已被关闭或者银行贷款已付清，询证函仍然应邮寄至该银行。</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szCs w:val="21"/>
                <w:u w:val="single"/>
                <w:lang w:val="en-GB"/>
              </w:rPr>
            </w:pPr>
            <w:r>
              <w:rPr>
                <w:rFonts w:eastAsia="黑体;SimHei" w:cs="Arial" w:ascii="Arial" w:hAnsi="Arial"/>
                <w:b/>
                <w:i/>
                <w:sz w:val="19"/>
                <w:szCs w:val="21"/>
                <w:u w:val="single"/>
                <w:lang w:val="en-GB"/>
              </w:rPr>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highlight w:val="yellow"/>
                <w:lang w:val="en-GB"/>
              </w:rPr>
            </w:pPr>
            <w:r>
              <w:rPr>
                <w:rFonts w:ascii="楷体_GB2312" w:hAnsi="楷体_GB2312" w:cs="Arial" w:eastAsia="楷体_GB2312"/>
                <w:color w:val="0000FF"/>
                <w:szCs w:val="21"/>
                <w:lang w:val="en-GB"/>
              </w:rPr>
              <w:t>询证函可在资产负债表日之前的适当日期寄往银行，但所确认的余额应该为资产负债表日余额。</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highlight w:val="yellow"/>
                <w:lang w:val="en-GB"/>
              </w:rPr>
            </w:pPr>
            <w:r>
              <w:rPr>
                <w:rFonts w:eastAsia="黑体;SimHei" w:cs="Arial" w:ascii="Arial" w:hAnsi="Arial"/>
                <w:b/>
                <w:i/>
                <w:color w:val="0000FF"/>
                <w:sz w:val="19"/>
                <w:szCs w:val="21"/>
                <w:highlight w:val="yellow"/>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eastAsia="黑体;SimHei" w:cs="Arial"/>
                <w:sz w:val="19"/>
                <w:lang w:val="en-GB"/>
              </w:rPr>
            </w:pPr>
            <w:r>
              <w:rPr>
                <w:rFonts w:ascii="Arial" w:hAnsi="Arial" w:cs="Arial"/>
                <w:b/>
                <w:szCs w:val="21"/>
                <w:lang w:val="en-GB"/>
              </w:rPr>
              <w:t>记录所选取的需函证的账户</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(4)</w:t>
            </w:r>
            <w:r>
              <w:rPr>
                <w:rFonts w:ascii="Arial" w:hAnsi="Arial" w:cs="Arial"/>
                <w:szCs w:val="21"/>
                <w:lang w:val="en-GB"/>
              </w:rPr>
              <w:t>应将所选取的需函证的账户记录在工作底稿中。</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szCs w:val="21"/>
                <w:u w:val="single"/>
                <w:lang w:val="en-GB"/>
              </w:rPr>
            </w:pPr>
            <w:r>
              <w:rPr>
                <w:rFonts w:eastAsia="黑体;SimHei" w:cs="Arial" w:ascii="Arial" w:hAnsi="Arial"/>
                <w:b/>
                <w:i/>
                <w:sz w:val="19"/>
                <w:szCs w:val="21"/>
                <w:u w:val="single"/>
                <w:lang w:val="en-GB"/>
              </w:rPr>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银行询证函汇总表应包括如下内容：</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(a)</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银行名称</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(b)</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详细地址</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(c)</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邮编</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(d)</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联系人</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(e)</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传真号码及联系电话</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c>
          <w:tcPr>
            <w:tcW w:w="85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(f)</w:t>
            </w:r>
          </w:p>
        </w:tc>
        <w:tc>
          <w:tcPr>
            <w:tcW w:w="6944" w:type="dxa"/>
            <w:gridSpan w:val="7"/>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业务性质及需被确认的金额</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color w:val="0000FF"/>
                <w:sz w:val="19"/>
                <w:szCs w:val="21"/>
                <w:lang w:val="en-GB"/>
              </w:rPr>
            </w:pPr>
            <w:r>
              <w:rPr>
                <w:rFonts w:eastAsia="黑体;SimHei" w:cs="Arial" w:ascii="Arial" w:hAnsi="Arial"/>
                <w:b/>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630" w:hRule="atLeast"/>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rPr>
                <w:rFonts w:ascii="Arial" w:hAnsi="Arial" w:eastAsia="黑体;SimHei" w:cs="Arial"/>
                <w:sz w:val="19"/>
                <w:lang w:val="en-GB"/>
              </w:rPr>
            </w:pPr>
            <w:r>
              <w:rPr>
                <w:rFonts w:ascii="Arial" w:hAnsi="Arial" w:cs="Arial" w:eastAsia="黑体;SimHei"/>
                <w:b/>
                <w:lang w:val="en-GB"/>
              </w:rPr>
              <w:t>询证函的编制及控制</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执行人</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cs="Arial"/>
                <w:b/>
                <w:b/>
                <w:szCs w:val="21"/>
                <w:lang w:val="en-GB"/>
              </w:rPr>
            </w:pPr>
            <w:r>
              <w:rPr>
                <w:rFonts w:ascii="Arial" w:hAnsi="Arial" w:cs="Arial"/>
                <w:b/>
                <w:szCs w:val="21"/>
                <w:lang w:val="en-GB"/>
              </w:rPr>
              <w:t>项目复核经理</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(5)</w:t>
            </w:r>
            <w:r>
              <w:rPr>
                <w:rFonts w:ascii="Arial" w:hAnsi="Arial" w:cs="Arial"/>
                <w:szCs w:val="21"/>
                <w:lang w:val="en-GB"/>
              </w:rPr>
              <w:t>银行询证函应包括如下详细内容：</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(a)</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基于银行记录的账户名称</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(b)</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公司盖章</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(c)</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银行名称和地址</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(d)</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所需信息的截止日期</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rHeight w:val="505" w:hRule="atLeast"/>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(6)</w:t>
            </w:r>
            <w:r>
              <w:rPr>
                <w:rFonts w:ascii="Arial" w:hAnsi="Arial" w:cs="Arial"/>
                <w:szCs w:val="21"/>
                <w:lang w:val="en-GB"/>
              </w:rPr>
              <w:t>在寄出询证函之前，询证函上的详细内容应与客户进行二次核对并确认。</w:t>
            </w:r>
            <w:r>
              <w:rPr>
                <w:rFonts w:ascii="Arial" w:hAnsi="Arial" w:cs="Arial" w:eastAsia="Arial"/>
                <w:szCs w:val="21"/>
                <w:lang w:val="en-GB"/>
              </w:rPr>
              <w:t xml:space="preserve">  </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rHeight w:val="555" w:hRule="atLeast"/>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(7)</w:t>
            </w:r>
            <w:r>
              <w:rPr>
                <w:rFonts w:ascii="Arial" w:hAnsi="Arial" w:cs="Arial"/>
                <w:szCs w:val="21"/>
                <w:lang w:val="en-GB"/>
              </w:rPr>
              <w:t>项目经理应在发出询证函之前复核关键项目的询证函。</w:t>
            </w:r>
            <w:r>
              <w:rPr>
                <w:rFonts w:ascii="Arial" w:hAnsi="Arial" w:cs="Arial" w:eastAsia="Arial"/>
                <w:szCs w:val="21"/>
                <w:lang w:val="en-GB"/>
              </w:rPr>
              <w:t xml:space="preserve"> </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(8)</w:t>
            </w:r>
            <w:r>
              <w:rPr>
                <w:rFonts w:ascii="Arial" w:hAnsi="Arial" w:cs="Arial"/>
                <w:szCs w:val="21"/>
                <w:lang w:val="en-GB"/>
              </w:rPr>
              <w:t>应对银行地址进行必要的核查。</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(a)</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银行地址应合理追查或核对至外部电话簿、地址簿或银行自己网站（而不是核对至客户的内部记录或客户提供的与银行的往来函件）。</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(b)</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该等地址明显是真实的经营地址。</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(c)</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应对“转交”地址进行调查并进一步确认该等地址是正确的。</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(9)</w:t>
            </w:r>
            <w:r>
              <w:rPr>
                <w:rFonts w:ascii="Arial" w:hAnsi="Arial" w:cs="Arial"/>
                <w:szCs w:val="21"/>
                <w:lang w:val="en-GB"/>
              </w:rPr>
              <w:t>询证函的寄发应在审计人员的控制下。</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(a)</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不得使用客户的收发室。</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(b)</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必须有瑞华员工对询证函的实物加以控制——由瑞华员工在各公司寄发或者带到邮局</w:t>
            </w:r>
            <w:r>
              <w:rPr>
                <w:rFonts w:eastAsia="楷体_GB2312" w:cs="Arial" w:ascii="楷体_GB2312" w:hAnsi="楷体_GB2312"/>
                <w:color w:val="0000FF"/>
                <w:szCs w:val="21"/>
                <w:lang w:val="en-GB"/>
              </w:rPr>
              <w:t>/</w:t>
            </w:r>
            <w:r>
              <w:rPr>
                <w:rFonts w:ascii="楷体_GB2312" w:hAnsi="楷体_GB2312" w:cs="Arial" w:eastAsia="楷体_GB2312"/>
                <w:color w:val="0000FF"/>
                <w:szCs w:val="21"/>
                <w:lang w:val="en-GB"/>
              </w:rPr>
              <w:t>邮筒寄发或亲自送达。</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8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886" w:leader="none"/>
                <w:tab w:val="left" w:pos="2641" w:leader="none"/>
                <w:tab w:val="left" w:pos="6340" w:leader="none"/>
                <w:tab w:val="right" w:pos="8381" w:leader="none"/>
              </w:tabs>
              <w:jc w:val="right"/>
              <w:rPr>
                <w:rFonts w:ascii="楷体_GB2312" w:hAnsi="楷体_GB2312" w:eastAsia="楷体_GB2312" w:cs="Arial"/>
                <w:color w:val="0000FF"/>
                <w:szCs w:val="21"/>
                <w:lang w:val="en-GB"/>
              </w:rPr>
            </w:pPr>
            <w:r>
              <w:rPr>
                <w:rFonts w:eastAsia="楷体_GB2312" w:cs="Arial" w:ascii="楷体_GB2312" w:hAnsi="楷体_GB2312"/>
                <w:color w:val="0000FF"/>
                <w:szCs w:val="21"/>
                <w:lang w:val="en-GB"/>
              </w:rPr>
              <w:t>(c)</w:t>
            </w:r>
          </w:p>
        </w:tc>
        <w:tc>
          <w:tcPr>
            <w:tcW w:w="6958" w:type="dxa"/>
            <w:gridSpan w:val="8"/>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楷体_GB2312" w:hAnsi="楷体_GB2312" w:eastAsia="楷体_GB2312" w:cs="Arial"/>
                <w:color w:val="0000FF"/>
                <w:szCs w:val="21"/>
                <w:lang w:val="en-GB"/>
              </w:rPr>
            </w:pPr>
            <w:r>
              <w:rPr>
                <w:rFonts w:ascii="楷体_GB2312" w:hAnsi="楷体_GB2312" w:cs="Arial" w:eastAsia="楷体_GB2312"/>
                <w:color w:val="0000FF"/>
                <w:szCs w:val="21"/>
                <w:lang w:val="en-GB"/>
              </w:rPr>
              <w:t>当天未寄出的询证函应由审计人员保管或以同样有效的方式对询证函加以控制。</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color w:val="0000FF"/>
                <w:sz w:val="19"/>
                <w:szCs w:val="21"/>
                <w:lang w:val="en-GB"/>
              </w:rPr>
            </w:pPr>
            <w:r>
              <w:rPr>
                <w:rFonts w:eastAsia="黑体;SimHei" w:cs="Arial" w:ascii="Arial" w:hAnsi="Arial"/>
                <w:b/>
                <w:i/>
                <w:color w:val="0000FF"/>
                <w:sz w:val="19"/>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i/>
                <w:i/>
                <w:sz w:val="19"/>
                <w:lang w:val="en-GB"/>
              </w:rPr>
            </w:pPr>
            <w:r>
              <w:rPr>
                <w:rFonts w:eastAsia="黑体;SimHei" w:cs="Arial" w:ascii="Arial" w:hAnsi="Arial"/>
                <w:b/>
                <w:i/>
                <w:sz w:val="19"/>
                <w:lang w:val="en-GB"/>
              </w:rPr>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(10)</w:t>
            </w:r>
            <w:r>
              <w:rPr>
                <w:rFonts w:ascii="Arial" w:hAnsi="Arial" w:cs="Arial"/>
                <w:szCs w:val="21"/>
                <w:lang w:val="en-GB"/>
              </w:rPr>
              <w:t>应检查瑞华地址及传真号码，以确保正确注明了询证函退回时的瑞华接收人。</w:t>
            </w:r>
            <w:r>
              <w:rPr>
                <w:rFonts w:ascii="Arial" w:hAnsi="Arial" w:cs="Arial" w:eastAsia="Arial"/>
                <w:szCs w:val="21"/>
                <w:lang w:val="en-GB"/>
              </w:rPr>
              <w:t xml:space="preserve"> </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(11)</w:t>
            </w:r>
            <w:r>
              <w:rPr>
                <w:rFonts w:ascii="Arial" w:hAnsi="Arial" w:cs="Arial"/>
                <w:szCs w:val="21"/>
                <w:lang w:val="en-GB"/>
              </w:rPr>
              <w:t>所有的银行回函（包括询证函是直接从银行发出的证据，例如回邮信封）都应存档并正确索引。</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(12)</w:t>
            </w:r>
            <w:r>
              <w:rPr>
                <w:rFonts w:ascii="Arial" w:hAnsi="Arial" w:cs="Arial"/>
                <w:szCs w:val="21"/>
                <w:lang w:val="en-GB"/>
              </w:rPr>
              <w:t>对于关键项目，应核查邮戳以确保其与银行地址一致。如果二者不一致，则进行调查并记录原因。</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(13)</w:t>
            </w:r>
            <w:r>
              <w:rPr>
                <w:rFonts w:ascii="Arial" w:hAnsi="Arial" w:cs="Arial"/>
                <w:szCs w:val="21"/>
                <w:lang w:val="en-GB"/>
              </w:rPr>
              <w:t>不得接受由客户传递给我们而非直接收自于银行的回函。在极少数的情况下，我们会接受此类回函，此时审计人员应直接联系银行以证实该回函确实来自该银行。</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pPr>
            <w:r>
              <w:rPr>
                <w:rFonts w:eastAsia="黑体;SimHei" w:cs="Arial" w:ascii="Arial" w:hAnsi="Arial"/>
                <w:b/>
                <w:sz w:val="19"/>
                <w:u w:val="single"/>
                <w:lang w:val="en-GB"/>
              </w:rPr>
              <w:t>_______</w:t>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rHeight w:val="261" w:hRule="atLeast"/>
        </w:trPr>
        <w:tc>
          <w:tcPr>
            <w:tcW w:w="7795" w:type="dxa"/>
            <w:gridSpan w:val="9"/>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Arial" w:hAnsi="Arial" w:eastAsia="黑体;SimHei" w:cs="Arial"/>
                <w:b/>
                <w:b/>
                <w:sz w:val="19"/>
                <w:lang w:val="en-GB"/>
              </w:rPr>
            </w:pPr>
            <w:r>
              <w:rPr>
                <w:rFonts w:ascii="宋体;SimSun" w:hAnsi="宋体;SimSun" w:cs="Arial"/>
                <w:b/>
                <w:szCs w:val="21"/>
                <w:lang w:val="en-GB"/>
              </w:rPr>
              <w:t>本阶段签署：</w:t>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u w:val="single"/>
                <w:lang w:val="en-GB"/>
              </w:rPr>
            </w:pPr>
            <w:r>
              <w:rPr>
                <w:rFonts w:eastAsia="黑体;SimHei" w:cs="Arial" w:ascii="Arial" w:hAnsi="Arial"/>
                <w:b/>
                <w:sz w:val="19"/>
                <w:u w:val="single"/>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u w:val="single"/>
                <w:lang w:val="en-GB"/>
              </w:rPr>
            </w:pPr>
            <w:r>
              <w:rPr>
                <w:rFonts w:eastAsia="黑体;SimHei" w:cs="Arial" w:ascii="Arial" w:hAnsi="Arial"/>
                <w:b/>
                <w:sz w:val="19"/>
                <w:u w:val="single"/>
                <w:lang w:val="en-GB"/>
              </w:rPr>
            </w:r>
          </w:p>
        </w:tc>
      </w:tr>
      <w:tr>
        <w:trPr>
          <w:trHeight w:val="261" w:hRule="atLeast"/>
        </w:trPr>
        <w:tc>
          <w:tcPr>
            <w:tcW w:w="1869"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宋体;SimSun" w:hAnsi="宋体;SimSun" w:cs="Arial"/>
                <w:b/>
                <w:b/>
                <w:szCs w:val="21"/>
                <w:lang w:val="en-GB"/>
              </w:rPr>
            </w:pPr>
            <w:r>
              <w:rPr>
                <w:rFonts w:ascii="宋体;SimSun" w:hAnsi="宋体;SimSun" w:cs="Arial"/>
                <w:b/>
                <w:szCs w:val="21"/>
                <w:lang w:val="en-GB"/>
              </w:rPr>
              <w:t>项目复核经理：</w:t>
            </w:r>
          </w:p>
        </w:tc>
        <w:tc>
          <w:tcPr>
            <w:tcW w:w="238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spacing w:lineRule="auto" w:line="360"/>
              <w:rPr>
                <w:rFonts w:ascii="宋体;SimSun" w:hAnsi="宋体;SimSun" w:cs="Arial"/>
                <w:b/>
                <w:b/>
                <w:szCs w:val="21"/>
                <w:lang w:val="en-GB"/>
              </w:rPr>
            </w:pPr>
            <w:r>
              <w:rPr>
                <w:rFonts w:cs="Arial" w:ascii="宋体;SimSun" w:hAnsi="宋体;SimSun"/>
                <w:b/>
                <w:szCs w:val="21"/>
                <w:lang w:val="en-GB"/>
              </w:rPr>
            </w:r>
          </w:p>
        </w:tc>
        <w:tc>
          <w:tcPr>
            <w:tcW w:w="98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宋体;SimSun" w:hAnsi="宋体;SimSun" w:cs="Arial"/>
                <w:b/>
                <w:b/>
                <w:szCs w:val="21"/>
                <w:lang w:val="en-GB"/>
              </w:rPr>
            </w:pPr>
            <w:r>
              <w:rPr>
                <w:rFonts w:ascii="宋体;SimSun" w:hAnsi="宋体;SimSun" w:cs="Arial"/>
                <w:b/>
                <w:szCs w:val="21"/>
                <w:lang w:val="en-GB"/>
              </w:rPr>
              <w:t>日期</w:t>
            </w:r>
            <w:r>
              <w:rPr>
                <w:rFonts w:cs="Arial" w:ascii="宋体;SimSun" w:hAnsi="宋体;SimSun"/>
                <w:b/>
                <w:szCs w:val="21"/>
                <w:lang w:val="en-GB"/>
              </w:rPr>
              <w:t>:</w:t>
            </w:r>
          </w:p>
        </w:tc>
        <w:tc>
          <w:tcPr>
            <w:tcW w:w="25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r>
      <w:tr>
        <w:trPr>
          <w:trHeight w:val="261" w:hRule="atLeast"/>
        </w:trPr>
        <w:tc>
          <w:tcPr>
            <w:tcW w:w="1869"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宋体;SimSun" w:hAnsi="宋体;SimSun" w:cs="Arial"/>
                <w:b/>
                <w:b/>
                <w:szCs w:val="21"/>
                <w:lang w:val="en-GB"/>
              </w:rPr>
            </w:pPr>
            <w:r>
              <w:rPr>
                <w:rFonts w:ascii="宋体;SimSun" w:hAnsi="宋体;SimSun" w:cs="Arial"/>
                <w:b/>
                <w:szCs w:val="21"/>
                <w:lang w:val="en-GB"/>
              </w:rPr>
              <w:t>项目经理</w:t>
            </w:r>
            <w:r>
              <w:rPr>
                <w:rFonts w:cs="Arial" w:ascii="宋体;SimSun" w:hAnsi="宋体;SimSun"/>
                <w:b/>
                <w:szCs w:val="21"/>
                <w:lang w:val="en-GB"/>
              </w:rPr>
              <w:t>:</w:t>
            </w:r>
          </w:p>
        </w:tc>
        <w:tc>
          <w:tcPr>
            <w:tcW w:w="238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spacing w:lineRule="auto" w:line="360"/>
              <w:rPr>
                <w:rFonts w:ascii="宋体;SimSun" w:hAnsi="宋体;SimSun" w:cs="Arial"/>
                <w:b/>
                <w:b/>
                <w:szCs w:val="21"/>
                <w:lang w:val="en-GB"/>
              </w:rPr>
            </w:pPr>
            <w:r>
              <w:rPr>
                <w:rFonts w:cs="Arial" w:ascii="宋体;SimSun" w:hAnsi="宋体;SimSun"/>
                <w:b/>
                <w:szCs w:val="21"/>
                <w:lang w:val="en-GB"/>
              </w:rPr>
            </w:r>
          </w:p>
        </w:tc>
        <w:tc>
          <w:tcPr>
            <w:tcW w:w="986"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宋体;SimSun" w:hAnsi="宋体;SimSun" w:cs="Arial"/>
                <w:b/>
                <w:b/>
                <w:szCs w:val="21"/>
                <w:lang w:val="en-GB"/>
              </w:rPr>
            </w:pPr>
            <w:r>
              <w:rPr>
                <w:rFonts w:ascii="宋体;SimSun" w:hAnsi="宋体;SimSun" w:cs="Arial"/>
                <w:b/>
                <w:szCs w:val="21"/>
                <w:lang w:val="en-GB"/>
              </w:rPr>
              <w:t>日期</w:t>
            </w:r>
            <w:r>
              <w:rPr>
                <w:rFonts w:cs="Arial" w:ascii="宋体;SimSun" w:hAnsi="宋体;SimSun"/>
                <w:b/>
                <w:szCs w:val="21"/>
                <w:lang w:val="en-GB"/>
              </w:rPr>
              <w:t>:</w:t>
            </w:r>
          </w:p>
        </w:tc>
        <w:tc>
          <w:tcPr>
            <w:tcW w:w="25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c>
          <w:tcPr>
            <w:tcW w:w="1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宋体;SimSun" w:hAnsi="宋体;SimSun" w:cs="Arial"/>
                <w:b/>
                <w:b/>
                <w:szCs w:val="21"/>
                <w:lang w:val="en-GB"/>
              </w:rPr>
            </w:pPr>
            <w:r>
              <w:rPr>
                <w:rFonts w:cs="Arial" w:ascii="宋体;SimSun" w:hAnsi="宋体;SimSun"/>
                <w:b/>
                <w:szCs w:val="21"/>
                <w:lang w:val="en-GB"/>
              </w:rPr>
            </w:r>
          </w:p>
        </w:tc>
      </w:tr>
    </w:tbl>
    <w:p>
      <w:pPr>
        <w:pStyle w:val="Normal"/>
        <w:tabs>
          <w:tab w:val="left" w:pos="5820" w:leader="none"/>
        </w:tabs>
        <w:jc w:val="center"/>
        <w:rPr>
          <w:rFonts w:eastAsia="黑体;SimHei"/>
        </w:rPr>
      </w:pPr>
      <w:r>
        <w:rPr>
          <w:rFonts w:eastAsia="Arial" w:cs="Arial" w:ascii="Arial" w:hAnsi="Arial"/>
          <w:b/>
        </w:rPr>
        <w:t xml:space="preserve">                        </w:t>
      </w:r>
      <w:r>
        <w:br w:type="page"/>
      </w:r>
    </w:p>
    <w:p>
      <w:pPr>
        <w:pStyle w:val="Normal"/>
        <w:rPr>
          <w:rFonts w:ascii="Arial" w:hAnsi="Arial" w:eastAsia="黑体;SimHei" w:cs="Arial"/>
          <w:b/>
          <w:b/>
        </w:rPr>
      </w:pPr>
      <w:r>
        <w:rPr>
          <w:rFonts w:eastAsia="黑体;SimHei" w:cs="Arial" w:ascii="Arial" w:hAnsi="Arial"/>
          <w:b/>
        </w:rPr>
      </w:r>
    </w:p>
    <w:tbl>
      <w:tblPr>
        <w:tblW w:w="10091" w:type="dxa"/>
        <w:jc w:val="left"/>
        <w:tblInd w:w="-606"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03"/>
        <w:gridCol w:w="2337"/>
        <w:gridCol w:w="985"/>
        <w:gridCol w:w="2666"/>
        <w:gridCol w:w="1137"/>
        <w:gridCol w:w="1147"/>
        <w:gridCol w:w="16"/>
      </w:tblGrid>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eastAsia="黑体;SimHei" w:cs="Arial"/>
                <w:b/>
                <w:b/>
                <w:sz w:val="19"/>
                <w:lang w:val="en-GB"/>
              </w:rPr>
            </w:pPr>
            <w:r>
              <w:rPr>
                <w:rFonts w:ascii="Arial" w:hAnsi="Arial" w:cs="Arial" w:eastAsia="黑体;SimHei"/>
                <w:b/>
                <w:sz w:val="19"/>
                <w:lang w:val="en-GB"/>
              </w:rPr>
              <w:t>执行人</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eastAsia="黑体;SimHei" w:cs="Arial"/>
                <w:b/>
                <w:b/>
                <w:sz w:val="19"/>
                <w:lang w:val="en-GB"/>
              </w:rPr>
            </w:pPr>
            <w:r>
              <w:rPr>
                <w:rFonts w:ascii="Arial" w:hAnsi="Arial" w:cs="Arial" w:eastAsia="黑体;SimHei"/>
                <w:b/>
                <w:sz w:val="19"/>
                <w:lang w:val="en-GB"/>
              </w:rPr>
              <w:t>项目复核经理</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ascii="Arial" w:hAnsi="Arial" w:cs="Arial"/>
                <w:b/>
                <w:szCs w:val="21"/>
                <w:lang w:val="en-GB"/>
              </w:rPr>
              <w:t>接收及复核回函</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sz w:val="19"/>
                <w:szCs w:val="21"/>
                <w:lang w:val="en-GB"/>
              </w:rPr>
            </w:pPr>
            <w:r>
              <w:rPr>
                <w:rFonts w:eastAsia="黑体;SimHei" w:cs="Arial" w:ascii="Arial" w:hAnsi="Arial"/>
                <w:sz w:val="19"/>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sz w:val="19"/>
                <w:lang w:val="en-GB"/>
              </w:rPr>
            </w:pPr>
            <w:r>
              <w:rPr>
                <w:rFonts w:eastAsia="黑体;SimHei" w:cs="Arial" w:ascii="Arial" w:hAnsi="Arial"/>
                <w:sz w:val="19"/>
                <w:lang w:val="en-GB"/>
              </w:rPr>
            </w:r>
          </w:p>
        </w:tc>
      </w:tr>
      <w:tr>
        <w:trPr>
          <w:trHeight w:val="852" w:hRule="atLeast"/>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(14)</w:t>
            </w:r>
            <w:r>
              <w:rPr>
                <w:rFonts w:ascii="Arial" w:hAnsi="Arial" w:cs="Arial"/>
                <w:szCs w:val="21"/>
                <w:lang w:val="en-GB"/>
              </w:rPr>
              <w:t>若询证函是通过传真回复的，则有关审计人员应跟进以向银行取得原件，或如果原件无法取得，则应记录有关跟进工作。</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rHeight w:val="491" w:hRule="atLeast"/>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(15)</w:t>
            </w:r>
            <w:r>
              <w:rPr>
                <w:rFonts w:ascii="Arial" w:hAnsi="Arial" w:cs="Arial"/>
                <w:szCs w:val="21"/>
                <w:lang w:val="en-GB"/>
              </w:rPr>
              <w:t>对于个人签署的询证函，审计人员应观察签字过程。</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(16)</w:t>
            </w:r>
            <w:r>
              <w:rPr>
                <w:rFonts w:ascii="Arial" w:hAnsi="Arial" w:cs="Arial"/>
                <w:szCs w:val="21"/>
                <w:lang w:val="en-GB"/>
              </w:rPr>
              <w:t>审计人员应核对印章和签名，并考虑其是否与被询证者的相一致。检查签字人的职位是否能使签字有效。</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rHeight w:val="412" w:hRule="atLeast"/>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(17)</w:t>
            </w:r>
            <w:r>
              <w:rPr>
                <w:rFonts w:ascii="Arial" w:hAnsi="Arial" w:cs="Arial"/>
                <w:szCs w:val="21"/>
                <w:lang w:val="en-GB"/>
              </w:rPr>
              <w:t>若银行未在合理时间内回函，应将第二次询证函寄发给该银行。</w:t>
            </w:r>
            <w:r>
              <w:rPr>
                <w:rFonts w:ascii="Arial" w:hAnsi="Arial" w:cs="Arial" w:eastAsia="Arial"/>
                <w:szCs w:val="21"/>
                <w:lang w:val="en-GB"/>
              </w:rPr>
              <w:t xml:space="preserve"> </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742" w:leader="none"/>
                <w:tab w:val="left" w:pos="6299" w:leader="none"/>
                <w:tab w:val="left" w:pos="8612" w:leader="none"/>
                <w:tab w:val="right" w:pos="9931" w:leader="none"/>
              </w:tabs>
              <w:rPr>
                <w:rFonts w:ascii="楷体_GB2312" w:hAnsi="楷体_GB2312" w:eastAsia="楷体_GB2312" w:cs="Arial"/>
                <w:color w:val="0000FF"/>
                <w:szCs w:val="21"/>
                <w:lang w:val="en-GB"/>
              </w:rPr>
            </w:pPr>
            <w:r>
              <w:rPr>
                <w:rFonts w:eastAsia="楷体_GB2312" w:cs="楷体_GB2312" w:ascii="楷体_GB2312" w:hAnsi="楷体_GB2312"/>
                <w:color w:val="0000FF"/>
                <w:szCs w:val="21"/>
                <w:lang w:val="en-GB"/>
              </w:rPr>
              <w:t xml:space="preserve">    </w:t>
            </w:r>
            <w:r>
              <w:rPr>
                <w:rFonts w:ascii="楷体_GB2312" w:hAnsi="楷体_GB2312" w:cs="Arial" w:eastAsia="楷体_GB2312"/>
                <w:color w:val="0000FF"/>
                <w:szCs w:val="21"/>
                <w:lang w:val="en-GB"/>
              </w:rPr>
              <w:t>若未收到第二次询证函的回复，则应通过电话联系该银行以便了解其未作回复的原因。</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color w:val="0000FF"/>
                <w:sz w:val="19"/>
                <w:szCs w:val="21"/>
                <w:u w:val="single"/>
                <w:lang w:val="en-GB"/>
              </w:rPr>
            </w:pPr>
            <w:r>
              <w:rPr>
                <w:rFonts w:eastAsia="黑体;SimHei" w:cs="Arial" w:ascii="Arial" w:hAnsi="Arial"/>
                <w:b/>
                <w:color w:val="0000FF"/>
                <w:sz w:val="19"/>
                <w:szCs w:val="21"/>
                <w:u w:val="single"/>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u w:val="single"/>
                <w:lang w:val="en-GB"/>
              </w:rPr>
            </w:pPr>
            <w:r>
              <w:rPr>
                <w:rFonts w:eastAsia="黑体;SimHei" w:cs="Arial" w:ascii="Arial" w:hAnsi="Arial"/>
                <w:b/>
                <w:sz w:val="19"/>
                <w:u w:val="single"/>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(18)</w:t>
            </w:r>
            <w:r>
              <w:rPr>
                <w:rFonts w:ascii="Arial" w:hAnsi="Arial" w:cs="Arial"/>
                <w:szCs w:val="21"/>
                <w:lang w:val="en-GB"/>
              </w:rPr>
              <w:t>关于未获回复的跟进工作及相关解释都应适当记录。</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(19)</w:t>
            </w:r>
            <w:r>
              <w:rPr>
                <w:rFonts w:ascii="Arial" w:hAnsi="Arial" w:cs="Arial"/>
                <w:szCs w:val="21"/>
                <w:lang w:val="en-GB"/>
              </w:rPr>
              <w:t>关键询证函回函应由项目经理进行复核。</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szCs w:val="21"/>
                <w:lang w:val="en-GB"/>
              </w:rPr>
            </w:pPr>
            <w:r>
              <w:rPr>
                <w:rFonts w:eastAsia="黑体;SimHei" w:cs="Arial" w:ascii="Arial" w:hAnsi="Arial"/>
                <w:b/>
                <w:sz w:val="19"/>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lang w:val="en-GB"/>
              </w:rPr>
            </w:pPr>
            <w:r>
              <w:rPr>
                <w:rFonts w:eastAsia="黑体;SimHei" w:cs="Arial" w:ascii="Arial" w:hAnsi="Arial"/>
                <w:b/>
                <w:sz w:val="19"/>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lang w:val="en-GB"/>
              </w:rPr>
            </w:pPr>
            <w:r>
              <w:rPr>
                <w:rFonts w:eastAsia="黑体;SimHei" w:cs="Arial" w:ascii="Arial" w:hAnsi="Arial"/>
                <w:b/>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lang w:val="en-GB"/>
              </w:rPr>
            </w:pPr>
            <w:r>
              <w:rPr>
                <w:rFonts w:eastAsia="黑体;SimHei" w:cs="Arial" w:ascii="Arial" w:hAnsi="Arial"/>
                <w:b/>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ascii="Arial" w:hAnsi="Arial" w:cs="Arial"/>
                <w:b/>
                <w:szCs w:val="21"/>
                <w:lang w:val="en-GB"/>
              </w:rPr>
              <w:t>实施替代程序</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szCs w:val="21"/>
                <w:lang w:val="en-GB"/>
              </w:rPr>
            </w:pPr>
            <w:r>
              <w:rPr>
                <w:rFonts w:eastAsia="黑体;SimHei" w:cs="Arial" w:ascii="Arial" w:hAnsi="Arial"/>
                <w:sz w:val="19"/>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lang w:val="en-GB"/>
              </w:rPr>
            </w:pPr>
            <w:r>
              <w:rPr>
                <w:rFonts w:eastAsia="黑体;SimHei" w:cs="Arial" w:ascii="Arial" w:hAnsi="Arial"/>
                <w:sz w:val="19"/>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(20)</w:t>
            </w:r>
            <w:r>
              <w:rPr>
                <w:rFonts w:ascii="Arial" w:hAnsi="Arial" w:cs="Arial"/>
                <w:szCs w:val="21"/>
                <w:lang w:val="en-GB"/>
              </w:rPr>
              <w:t>若询证函未被回复，则应实施替代程序。当从客户或直接从银行处取得了未作回复的合理解释时，才应实施替代程序（参考步骤</w:t>
            </w:r>
            <w:r>
              <w:rPr>
                <w:rFonts w:cs="Arial" w:ascii="Arial" w:hAnsi="Arial"/>
                <w:szCs w:val="21"/>
                <w:lang w:val="en-GB"/>
              </w:rPr>
              <w:t>17 “</w:t>
            </w:r>
            <w:r>
              <w:rPr>
                <w:rFonts w:ascii="Arial" w:hAnsi="Arial" w:cs="Arial"/>
                <w:szCs w:val="21"/>
                <w:lang w:val="en-GB"/>
              </w:rPr>
              <w:t>联系银行</w:t>
            </w:r>
            <w:r>
              <w:rPr>
                <w:rFonts w:ascii="Arial" w:hAnsi="Arial" w:cs="Arial" w:eastAsia="Arial"/>
                <w:szCs w:val="21"/>
                <w:lang w:val="en-GB"/>
              </w:rPr>
              <w:t>”</w:t>
            </w:r>
            <w:r>
              <w:rPr>
                <w:rFonts w:ascii="Arial" w:hAnsi="Arial" w:cs="Arial"/>
                <w:szCs w:val="21"/>
                <w:lang w:val="en-GB"/>
              </w:rPr>
              <w:t>）。</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szCs w:val="21"/>
                <w:u w:val="single"/>
                <w:lang w:val="en-GB"/>
              </w:rPr>
            </w:pPr>
            <w:r>
              <w:rPr>
                <w:rFonts w:eastAsia="黑体;SimHei" w:cs="Arial" w:ascii="Arial" w:hAnsi="Arial"/>
                <w:b/>
                <w:sz w:val="19"/>
                <w:szCs w:val="21"/>
                <w:u w:val="single"/>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Cs w:val="21"/>
                <w:lang w:val="en-GB"/>
              </w:rPr>
            </w:pPr>
            <w:r>
              <w:rPr>
                <w:rFonts w:eastAsia="黑体;SimHei" w:cs="Arial" w:ascii="Arial" w:hAnsi="Arial"/>
                <w:b/>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lang w:val="en-GB"/>
              </w:rPr>
            </w:pPr>
            <w:r>
              <w:rPr>
                <w:rFonts w:eastAsia="黑体;SimHei" w:cs="Arial" w:ascii="Arial" w:hAnsi="Arial"/>
                <w:b/>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ascii="Arial" w:hAnsi="Arial" w:cs="Arial"/>
                <w:b/>
                <w:szCs w:val="21"/>
                <w:lang w:val="en-GB"/>
              </w:rPr>
              <w:t>调查回函中所反映的差异</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szCs w:val="21"/>
                <w:lang w:val="en-GB"/>
              </w:rPr>
            </w:pPr>
            <w:r>
              <w:rPr>
                <w:rFonts w:eastAsia="黑体;SimHei" w:cs="Arial" w:ascii="Arial" w:hAnsi="Arial"/>
                <w:sz w:val="19"/>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lang w:val="en-GB"/>
              </w:rPr>
            </w:pPr>
            <w:r>
              <w:rPr>
                <w:rFonts w:eastAsia="黑体;SimHei" w:cs="Arial" w:ascii="Arial" w:hAnsi="Arial"/>
                <w:sz w:val="19"/>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(21)</w:t>
            </w:r>
            <w:r>
              <w:rPr>
                <w:rFonts w:ascii="Arial" w:hAnsi="Arial" w:cs="Arial"/>
                <w:szCs w:val="21"/>
                <w:lang w:val="en-GB"/>
              </w:rPr>
              <w:t>应就银行询证函与银行回函之间的差异进行调查并记录。</w:t>
            </w:r>
            <w:r>
              <w:rPr>
                <w:rFonts w:ascii="Arial" w:hAnsi="Arial" w:cs="Arial" w:eastAsia="Arial"/>
                <w:szCs w:val="21"/>
                <w:lang w:val="en-GB"/>
              </w:rPr>
              <w:t xml:space="preserve"> </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szCs w:val="21"/>
                <w:u w:val="single"/>
                <w:lang w:val="en-GB"/>
              </w:rPr>
            </w:pPr>
            <w:r>
              <w:rPr>
                <w:rFonts w:eastAsia="黑体;SimHei" w:cs="Arial" w:ascii="Arial" w:hAnsi="Arial"/>
                <w:b/>
                <w:sz w:val="19"/>
                <w:szCs w:val="21"/>
                <w:u w:val="single"/>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Cs w:val="21"/>
                <w:lang w:val="en-GB"/>
              </w:rPr>
            </w:pPr>
            <w:r>
              <w:rPr>
                <w:rFonts w:eastAsia="黑体;SimHei" w:cs="Arial" w:ascii="Arial" w:hAnsi="Arial"/>
                <w:b/>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lang w:val="en-GB"/>
              </w:rPr>
            </w:pPr>
            <w:r>
              <w:rPr>
                <w:rFonts w:eastAsia="黑体;SimHei" w:cs="Arial" w:ascii="Arial" w:hAnsi="Arial"/>
                <w:b/>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ascii="Arial" w:hAnsi="Arial" w:cs="Arial"/>
                <w:b/>
                <w:szCs w:val="21"/>
                <w:lang w:val="en-GB"/>
              </w:rPr>
              <w:t>总结函证实施结果及结论</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szCs w:val="21"/>
                <w:lang w:val="en-GB"/>
              </w:rPr>
            </w:pPr>
            <w:r>
              <w:rPr>
                <w:rFonts w:eastAsia="黑体;SimHei" w:cs="Arial" w:ascii="Arial" w:hAnsi="Arial"/>
                <w:sz w:val="19"/>
                <w:szCs w:val="21"/>
                <w:lang w:val="en-GB"/>
              </w:rPr>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sz w:val="19"/>
                <w:lang w:val="en-GB"/>
              </w:rPr>
            </w:pPr>
            <w:r>
              <w:rPr>
                <w:rFonts w:eastAsia="黑体;SimHei" w:cs="Arial" w:ascii="Arial" w:hAnsi="Arial"/>
                <w:sz w:val="19"/>
                <w:lang w:val="en-GB"/>
              </w:rPr>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(22)</w:t>
            </w:r>
            <w:r>
              <w:rPr>
                <w:rFonts w:ascii="Arial" w:hAnsi="Arial" w:cs="Arial"/>
                <w:szCs w:val="21"/>
                <w:lang w:val="en-GB"/>
              </w:rPr>
              <w:t>应在工作底稿中记录函证程序、结果及结论。</w:t>
            </w:r>
            <w:r>
              <w:rPr>
                <w:rFonts w:ascii="Arial" w:hAnsi="Arial" w:cs="Arial" w:eastAsia="Arial"/>
                <w:szCs w:val="21"/>
                <w:lang w:val="en-GB"/>
              </w:rPr>
              <w:t xml:space="preserve"> </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pPr>
            <w:r>
              <w:rPr>
                <w:rFonts w:cs="Arial" w:ascii="Arial" w:hAnsi="Arial"/>
                <w:szCs w:val="21"/>
                <w:lang w:val="en-GB"/>
              </w:rPr>
              <w:t>(23)</w:t>
            </w:r>
            <w:r>
              <w:rPr>
                <w:rFonts w:ascii="Arial" w:hAnsi="Arial" w:cs="Arial"/>
                <w:szCs w:val="21"/>
                <w:lang w:val="en-GB"/>
              </w:rPr>
              <w:t>应完成并复核</w:t>
            </w:r>
            <w:r>
              <w:rPr>
                <w:rFonts w:ascii="Arial" w:hAnsi="Arial" w:cs="Arial"/>
                <w:i/>
                <w:szCs w:val="21"/>
                <w:lang w:val="en-GB"/>
              </w:rPr>
              <w:t>银行询证函</w:t>
            </w:r>
            <w:r>
              <w:rPr>
                <w:rFonts w:ascii="Arial" w:hAnsi="Arial" w:cs="Arial"/>
                <w:szCs w:val="21"/>
                <w:lang w:val="en-GB"/>
              </w:rPr>
              <w:t>标准工作底稿。</w:t>
            </w:r>
            <w:r>
              <w:rPr>
                <w:rFonts w:ascii="Arial" w:hAnsi="Arial" w:cs="Arial" w:eastAsia="Arial"/>
                <w:szCs w:val="21"/>
                <w:lang w:val="en-GB"/>
              </w:rPr>
              <w:t xml:space="preserve"> </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rPr>
                <w:rFonts w:ascii="Arial" w:hAnsi="Arial" w:cs="Arial"/>
                <w:szCs w:val="21"/>
                <w:lang w:val="en-GB"/>
              </w:rPr>
            </w:pPr>
            <w:r>
              <w:rPr>
                <w:rFonts w:cs="Arial" w:ascii="Arial" w:hAnsi="Arial"/>
                <w:szCs w:val="21"/>
                <w:lang w:val="en-GB"/>
              </w:rPr>
              <w:t>(24)</w:t>
            </w:r>
            <w:r>
              <w:rPr>
                <w:rFonts w:ascii="Arial" w:hAnsi="Arial" w:cs="Arial"/>
                <w:szCs w:val="21"/>
                <w:lang w:val="en-GB"/>
              </w:rPr>
              <w:t>在审计报告日之后收到的回函应被妥善处置（即，不得作为审计证据存档）。</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c>
          <w:tcPr>
            <w:tcW w:w="11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jc w:val="center"/>
              <w:rPr>
                <w:rFonts w:ascii="Arial" w:hAnsi="Arial" w:eastAsia="黑体;SimHei" w:cs="Arial"/>
                <w:b/>
                <w:b/>
                <w:sz w:val="19"/>
                <w:u w:val="single"/>
                <w:lang w:val="en-GB"/>
              </w:rPr>
            </w:pPr>
            <w:r>
              <w:rPr>
                <w:rFonts w:eastAsia="黑体;SimHei" w:cs="Arial" w:ascii="Arial" w:hAnsi="Arial"/>
                <w:b/>
                <w:sz w:val="19"/>
                <w:u w:val="single"/>
                <w:lang w:val="en-GB"/>
              </w:rPr>
              <w:t>_______</w:t>
            </w:r>
          </w:p>
        </w:tc>
      </w:tr>
      <w:tr>
        <w:trPr>
          <w:trHeight w:val="261" w:hRule="atLeast"/>
        </w:trPr>
        <w:tc>
          <w:tcPr>
            <w:tcW w:w="7791" w:type="dxa"/>
            <w:gridSpan w:val="4"/>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pacing w:lineRule="auto" w:line="360"/>
              <w:rPr>
                <w:rFonts w:ascii="Arial" w:hAnsi="Arial" w:cs="Arial"/>
                <w:b/>
                <w:b/>
                <w:szCs w:val="21"/>
                <w:lang w:val="en-GB"/>
              </w:rPr>
            </w:pPr>
            <w:r>
              <w:rPr>
                <w:rFonts w:ascii="Arial" w:hAnsi="Arial" w:cs="Arial"/>
                <w:b/>
                <w:szCs w:val="21"/>
                <w:lang w:val="en-GB"/>
              </w:rPr>
              <w:t>本阶段签署：</w:t>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szCs w:val="21"/>
                <w:u w:val="single"/>
                <w:lang w:val="en-GB"/>
              </w:rPr>
            </w:pPr>
            <w:r>
              <w:rPr>
                <w:rFonts w:eastAsia="黑体;SimHei" w:cs="Arial" w:ascii="Arial" w:hAnsi="Arial"/>
                <w:b/>
                <w:sz w:val="19"/>
                <w:szCs w:val="21"/>
                <w:u w:val="single"/>
                <w:lang w:val="en-GB"/>
              </w:rPr>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tabs>
                <w:tab w:val="left" w:pos="285" w:leader="none"/>
                <w:tab w:val="left" w:pos="2641" w:leader="none"/>
                <w:tab w:val="left" w:pos="6340" w:leader="none"/>
                <w:tab w:val="right" w:pos="8381" w:leader="none"/>
              </w:tabs>
              <w:snapToGrid w:val="false"/>
              <w:jc w:val="center"/>
              <w:rPr>
                <w:rFonts w:ascii="Arial" w:hAnsi="Arial" w:eastAsia="黑体;SimHei" w:cs="Arial"/>
                <w:b/>
                <w:b/>
                <w:sz w:val="19"/>
                <w:u w:val="single"/>
                <w:lang w:val="en-GB"/>
              </w:rPr>
            </w:pPr>
            <w:r>
              <w:rPr>
                <w:rFonts w:eastAsia="黑体;SimHei" w:cs="Arial" w:ascii="Arial" w:hAnsi="Arial"/>
                <w:b/>
                <w:sz w:val="19"/>
                <w:u w:val="single"/>
                <w:lang w:val="en-GB"/>
              </w:rPr>
            </w:r>
          </w:p>
        </w:tc>
      </w:tr>
      <w:tr>
        <w:trPr>
          <w:trHeight w:val="261" w:hRule="atLeast"/>
        </w:trPr>
        <w:tc>
          <w:tcPr>
            <w:tcW w:w="18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pacing w:lineRule="auto" w:line="360"/>
              <w:rPr>
                <w:rFonts w:ascii="Arial" w:hAnsi="Arial" w:cs="Arial"/>
                <w:b/>
                <w:b/>
                <w:szCs w:val="21"/>
                <w:lang w:val="en-GB"/>
              </w:rPr>
            </w:pPr>
            <w:r>
              <w:rPr>
                <w:rFonts w:ascii="Arial" w:hAnsi="Arial" w:cs="Arial"/>
                <w:b/>
                <w:szCs w:val="21"/>
                <w:lang w:val="en-GB"/>
              </w:rPr>
              <w:t>项目复核经理：</w:t>
            </w:r>
          </w:p>
        </w:tc>
        <w:tc>
          <w:tcPr>
            <w:tcW w:w="23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napToGrid w:val="false"/>
              <w:spacing w:lineRule="auto" w:line="360"/>
              <w:rPr>
                <w:rFonts w:ascii="Arial" w:hAnsi="Arial" w:cs="Arial"/>
                <w:b/>
                <w:b/>
                <w:szCs w:val="21"/>
                <w:lang w:val="en-GB"/>
              </w:rPr>
            </w:pPr>
            <w:r>
              <w:rPr>
                <w:rFonts w:cs="Arial" w:ascii="Arial" w:hAnsi="Arial"/>
                <w:b/>
                <w:szCs w:val="21"/>
                <w:lang w:val="en-GB"/>
              </w:rPr>
            </w:r>
          </w:p>
        </w:tc>
        <w:tc>
          <w:tcPr>
            <w:tcW w:w="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Cs w:val="21"/>
                <w:lang w:val="en-GB"/>
              </w:rPr>
              <w:t>日期</w:t>
            </w:r>
            <w:r>
              <w:rPr>
                <w:rFonts w:cs="Arial" w:ascii="Arial" w:hAnsi="Arial"/>
                <w:b/>
                <w:szCs w:val="21"/>
                <w:lang w:val="en-GB"/>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szCs w:val="21"/>
                <w:lang w:val="en-GB"/>
              </w:rPr>
            </w:pPr>
            <w:r>
              <w:rPr>
                <w:rFonts w:eastAsia="黑体;SimHei" w:cs="Arial" w:ascii="Arial" w:hAnsi="Arial"/>
                <w:b/>
                <w:sz w:val="19"/>
                <w:szCs w:val="21"/>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r>
        <w:trPr>
          <w:trHeight w:val="261" w:hRule="atLeast"/>
        </w:trPr>
        <w:tc>
          <w:tcPr>
            <w:tcW w:w="180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Cs w:val="21"/>
                <w:lang w:val="en-GB"/>
              </w:rPr>
              <w:t>项目经理</w:t>
            </w:r>
            <w:r>
              <w:rPr>
                <w:rFonts w:cs="Arial" w:ascii="Arial" w:hAnsi="Arial"/>
                <w:b/>
                <w:szCs w:val="21"/>
                <w:lang w:val="en-GB"/>
              </w:rPr>
              <w:t>:</w:t>
            </w:r>
          </w:p>
        </w:tc>
        <w:tc>
          <w:tcPr>
            <w:tcW w:w="233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napToGrid w:val="false"/>
              <w:spacing w:lineRule="auto" w:line="360"/>
              <w:rPr>
                <w:rFonts w:ascii="Arial" w:hAnsi="Arial" w:cs="Arial"/>
                <w:b/>
                <w:b/>
                <w:szCs w:val="21"/>
                <w:lang w:val="en-GB"/>
              </w:rPr>
            </w:pPr>
            <w:r>
              <w:rPr>
                <w:rFonts w:cs="Arial" w:ascii="Arial" w:hAnsi="Arial"/>
                <w:b/>
                <w:szCs w:val="21"/>
                <w:lang w:val="en-GB"/>
              </w:rPr>
            </w:r>
          </w:p>
        </w:tc>
        <w:tc>
          <w:tcPr>
            <w:tcW w:w="98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tabs>
                <w:tab w:val="left" w:pos="285" w:leader="none"/>
                <w:tab w:val="left" w:pos="2641" w:leader="none"/>
                <w:tab w:val="left" w:pos="6340" w:leader="none"/>
                <w:tab w:val="right" w:pos="8381" w:leader="none"/>
              </w:tabs>
              <w:spacing w:lineRule="auto" w:line="360"/>
              <w:rPr/>
            </w:pPr>
            <w:r>
              <w:rPr>
                <w:rFonts w:ascii="Arial" w:hAnsi="Arial" w:cs="Arial"/>
                <w:b/>
                <w:szCs w:val="21"/>
                <w:lang w:val="en-GB"/>
              </w:rPr>
              <w:t>日期</w:t>
            </w:r>
            <w:r>
              <w:rPr>
                <w:rFonts w:cs="Arial" w:ascii="Arial" w:hAnsi="Arial"/>
                <w:b/>
                <w:szCs w:val="21"/>
                <w:lang w:val="en-GB"/>
              </w:rPr>
              <w:t>:</w:t>
            </w:r>
          </w:p>
        </w:tc>
        <w:tc>
          <w:tcPr>
            <w:tcW w:w="266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szCs w:val="21"/>
                <w:lang w:val="en-GB"/>
              </w:rPr>
            </w:pPr>
            <w:r>
              <w:rPr>
                <w:rFonts w:eastAsia="黑体;SimHei" w:cs="Arial" w:ascii="Arial" w:hAnsi="Arial"/>
                <w:b/>
                <w:sz w:val="19"/>
                <w:szCs w:val="21"/>
                <w:lang w:val="en-GB"/>
              </w:rPr>
            </w:r>
          </w:p>
        </w:tc>
        <w:tc>
          <w:tcPr>
            <w:tcW w:w="11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c>
          <w:tcPr>
            <w:tcW w:w="11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5" w:leader="none"/>
                <w:tab w:val="left" w:pos="2641" w:leader="none"/>
                <w:tab w:val="left" w:pos="6340" w:leader="none"/>
                <w:tab w:val="right" w:pos="8381" w:leader="none"/>
              </w:tabs>
              <w:snapToGrid w:val="false"/>
              <w:rPr>
                <w:rFonts w:ascii="Arial" w:hAnsi="Arial" w:eastAsia="黑体;SimHei" w:cs="Arial"/>
                <w:b/>
                <w:b/>
                <w:sz w:val="19"/>
                <w:lang w:val="en-GB"/>
              </w:rPr>
            </w:pPr>
            <w:r>
              <w:rPr>
                <w:rFonts w:eastAsia="黑体;SimHei" w:cs="Arial" w:ascii="Arial" w:hAnsi="Arial"/>
                <w:b/>
                <w:sz w:val="19"/>
                <w:lang w:val="en-GB"/>
              </w:rPr>
            </w:r>
          </w:p>
        </w:tc>
      </w:tr>
    </w:tbl>
    <w:p>
      <w:pPr>
        <w:pStyle w:val="Normal"/>
        <w:tabs>
          <w:tab w:val="left" w:pos="848" w:leader="none"/>
        </w:tabs>
        <w:ind w:left="798" w:hanging="715"/>
        <w:jc w:val="center"/>
        <w:rPr>
          <w:rFonts w:eastAsia="黑体;SimHei"/>
        </w:rPr>
      </w:pPr>
      <w:r>
        <w:rPr>
          <w:rFonts w:eastAsia="Arial" w:cs="Arial" w:ascii="Arial" w:hAnsi="Arial"/>
          <w:lang w:val="en-GB"/>
        </w:rPr>
        <w:t xml:space="preserve">                       </w:t>
      </w:r>
    </w:p>
    <w:p>
      <w:pPr>
        <w:pStyle w:val="Normal"/>
        <w:tabs>
          <w:tab w:val="right" w:pos="9437" w:leader="none"/>
        </w:tabs>
        <w:rPr>
          <w:rFonts w:ascii="Arial" w:hAnsi="Arial" w:eastAsia="黑体;SimHei" w:cs="Arial"/>
          <w:b/>
          <w:b/>
          <w:lang w:val="en-GB"/>
        </w:rPr>
      </w:pPr>
      <w:r>
        <w:rPr>
          <w:rFonts w:eastAsia="黑体;SimHei" w:cs="Arial" w:ascii="Arial" w:hAnsi="Arial"/>
          <w:b/>
          <w:lang w:val="en-GB"/>
        </w:rPr>
      </w:r>
    </w:p>
    <w:p>
      <w:pPr>
        <w:pStyle w:val="Normal"/>
        <w:tabs>
          <w:tab w:val="right" w:pos="9437" w:leader="none"/>
        </w:tabs>
        <w:spacing w:lineRule="exact" w:line="440"/>
        <w:ind w:firstLine="422"/>
        <w:rPr>
          <w:rFonts w:ascii="Arial" w:hAnsi="Arial" w:cs="Arial"/>
          <w:b/>
          <w:b/>
          <w:color w:val="0000FF"/>
          <w:lang w:val="en-GB"/>
        </w:rPr>
      </w:pPr>
      <w:r>
        <w:rPr>
          <w:rFonts w:ascii="Arial" w:hAnsi="Arial" w:cs="Arial"/>
          <w:b/>
          <w:color w:val="0000FF"/>
          <w:lang w:val="en-GB"/>
        </w:rPr>
        <w:t>编制说明：</w:t>
      </w:r>
    </w:p>
    <w:p>
      <w:pPr>
        <w:pStyle w:val="Normal"/>
        <w:tabs>
          <w:tab w:val="right" w:pos="9437" w:leader="none"/>
        </w:tabs>
        <w:spacing w:lineRule="exact" w:line="440"/>
        <w:ind w:firstLine="420"/>
        <w:rPr>
          <w:rFonts w:ascii="Arial" w:hAnsi="Arial" w:cs="Arial"/>
          <w:color w:val="0000FF"/>
          <w:sz w:val="16"/>
          <w:szCs w:val="16"/>
          <w:lang w:val="en-GB"/>
        </w:rPr>
      </w:pPr>
      <w:r>
        <w:rPr>
          <w:rFonts w:cs="Arial" w:ascii="Arial" w:hAnsi="Arial"/>
          <w:color w:val="0000FF"/>
          <w:szCs w:val="21"/>
          <w:lang w:val="en-GB"/>
        </w:rPr>
        <w:t>1</w:t>
      </w:r>
      <w:r>
        <w:rPr>
          <w:rFonts w:ascii="Arial" w:hAnsi="Arial" w:cs="Arial"/>
          <w:color w:val="0000FF"/>
          <w:szCs w:val="21"/>
          <w:lang w:val="en-GB"/>
        </w:rPr>
        <w:t>、对多数审计项目而言，银行函证程序是最关键的审计程序之一。虽然该审计程序的多数步骤比较适合由审计项目小组中级别较低的成员来执行，但是项目复核经理应当对分派给项目组其他成员的工作实施监督和复核，对整个过程加以控制，这是非常重要的。这一点在编制函证计划和发出询证函的初始阶段尤为重要。</w:t>
      </w:r>
    </w:p>
    <w:p>
      <w:pPr>
        <w:pStyle w:val="Normal"/>
        <w:tabs>
          <w:tab w:val="right" w:pos="9437" w:leader="none"/>
        </w:tabs>
        <w:spacing w:lineRule="exact" w:line="440"/>
        <w:ind w:firstLine="420"/>
        <w:rPr>
          <w:rFonts w:ascii="Arial" w:hAnsi="Arial" w:cs="Arial"/>
          <w:color w:val="0000FF"/>
          <w:lang w:val="en-GB"/>
        </w:rPr>
      </w:pPr>
      <w:r>
        <w:rPr>
          <w:rFonts w:cs="Arial" w:ascii="Arial" w:hAnsi="Arial"/>
          <w:color w:val="0000FF"/>
          <w:lang w:val="en-GB"/>
        </w:rPr>
        <w:t>2</w:t>
      </w:r>
      <w:r>
        <w:rPr>
          <w:rFonts w:ascii="Arial" w:hAnsi="Arial" w:cs="Arial"/>
          <w:color w:val="0000FF"/>
          <w:lang w:val="en-GB"/>
        </w:rPr>
        <w:t>、项目经理应在每个关键阶段复核已完成的工作并签署本核对表，不应留到函证程序的最后阶段实施。</w:t>
      </w:r>
    </w:p>
    <w:p>
      <w:pPr>
        <w:pStyle w:val="Normal"/>
        <w:tabs>
          <w:tab w:val="right" w:pos="9437" w:leader="none"/>
        </w:tabs>
        <w:spacing w:lineRule="exact" w:line="440"/>
        <w:ind w:firstLine="420"/>
        <w:rPr>
          <w:rFonts w:ascii="Arial" w:hAnsi="Arial" w:cs="Arial"/>
          <w:color w:val="0000FF"/>
          <w:lang w:val="en-GB"/>
        </w:rPr>
      </w:pPr>
      <w:r>
        <w:rPr>
          <w:rFonts w:cs="Arial" w:ascii="Arial" w:hAnsi="Arial"/>
          <w:color w:val="0000FF"/>
          <w:lang w:val="en-GB"/>
        </w:rPr>
        <w:t>3</w:t>
      </w:r>
      <w:r>
        <w:rPr>
          <w:rFonts w:ascii="Arial" w:hAnsi="Arial" w:cs="Arial"/>
          <w:color w:val="0000FF"/>
          <w:lang w:val="en-GB"/>
        </w:rPr>
        <w:t>、本所所有</w:t>
      </w:r>
      <w:r>
        <w:rPr>
          <w:rFonts w:cs="Arial" w:ascii="Arial" w:hAnsi="Arial"/>
          <w:color w:val="0000FF"/>
          <w:lang w:val="en-GB"/>
        </w:rPr>
        <w:t>A</w:t>
      </w:r>
      <w:r>
        <w:rPr>
          <w:rFonts w:ascii="Arial" w:hAnsi="Arial" w:cs="Arial"/>
          <w:color w:val="0000FF"/>
          <w:lang w:val="en-GB"/>
        </w:rPr>
        <w:t>类审计业务项目均必须填列本核对表，</w:t>
      </w:r>
      <w:r>
        <w:rPr>
          <w:rFonts w:cs="Arial" w:ascii="Arial" w:hAnsi="Arial"/>
          <w:color w:val="0000FF"/>
          <w:lang w:val="en-GB"/>
        </w:rPr>
        <w:t>B</w:t>
      </w:r>
      <w:r>
        <w:rPr>
          <w:rFonts w:ascii="Arial" w:hAnsi="Arial" w:cs="Arial"/>
          <w:color w:val="0000FF"/>
          <w:lang w:val="en-GB"/>
        </w:rPr>
        <w:t>类和</w:t>
      </w:r>
      <w:r>
        <w:rPr>
          <w:rFonts w:cs="Arial" w:ascii="Arial" w:hAnsi="Arial"/>
          <w:color w:val="0000FF"/>
          <w:lang w:val="en-GB"/>
        </w:rPr>
        <w:t>C</w:t>
      </w:r>
      <w:r>
        <w:rPr>
          <w:rFonts w:ascii="Arial" w:hAnsi="Arial" w:cs="Arial"/>
          <w:color w:val="0000FF"/>
          <w:lang w:val="en-GB"/>
        </w:rPr>
        <w:t>类项目鼓励参照执行。</w:t>
      </w:r>
    </w:p>
    <w:p>
      <w:pPr>
        <w:pStyle w:val="Normal"/>
        <w:tabs>
          <w:tab w:val="right" w:pos="9437" w:leader="none"/>
        </w:tabs>
        <w:spacing w:lineRule="exact" w:line="440"/>
        <w:ind w:firstLine="420"/>
        <w:rPr>
          <w:rFonts w:ascii="Arial" w:hAnsi="Arial" w:cs="Arial"/>
          <w:color w:val="0000FF"/>
          <w:sz w:val="16"/>
          <w:szCs w:val="16"/>
          <w:lang w:val="en-GB"/>
        </w:rPr>
      </w:pPr>
      <w:r>
        <w:rPr>
          <w:rFonts w:cs="Arial" w:ascii="Arial" w:hAnsi="Arial"/>
          <w:color w:val="0000FF"/>
          <w:lang w:val="en-GB"/>
        </w:rPr>
        <w:t>4</w:t>
      </w:r>
      <w:r>
        <w:rPr>
          <w:rFonts w:ascii="Arial" w:hAnsi="Arial" w:cs="Arial"/>
          <w:color w:val="0000FF"/>
          <w:lang w:val="en-GB"/>
        </w:rPr>
        <w:t>、本核对表涵盖银行函证中通常采用的审计技术，包括样本的规划和选取以及询证函的编制和函证过程的跟进。本核对表并不包括所有情况，因此适当时应以额外程序作补充。</w:t>
      </w:r>
    </w:p>
    <w:p>
      <w:pPr>
        <w:pStyle w:val="Normal"/>
        <w:spacing w:lineRule="exact" w:line="440"/>
        <w:ind w:firstLine="420"/>
        <w:rPr>
          <w:rFonts w:ascii="Arial" w:hAnsi="Arial" w:cs="Arial"/>
          <w:color w:val="0000FF"/>
          <w:sz w:val="16"/>
          <w:szCs w:val="16"/>
          <w:lang w:val="en-GB"/>
        </w:rPr>
      </w:pPr>
      <w:r>
        <w:rPr>
          <w:rFonts w:cs="Arial" w:ascii="Arial" w:hAnsi="Arial"/>
          <w:color w:val="0000FF"/>
          <w:lang w:val="en-GB"/>
        </w:rPr>
        <w:t>5</w:t>
      </w:r>
      <w:r>
        <w:rPr>
          <w:rFonts w:ascii="Arial" w:hAnsi="Arial" w:cs="Arial"/>
          <w:color w:val="0000FF"/>
          <w:lang w:val="en-GB"/>
        </w:rPr>
        <w:t>、必须对本表内的所有问题作出回答（不得填写</w:t>
      </w:r>
      <w:r>
        <w:rPr>
          <w:rFonts w:ascii="Arial" w:hAnsi="Arial" w:cs="Arial" w:eastAsia="Arial"/>
          <w:color w:val="0000FF"/>
          <w:lang w:val="en-GB"/>
        </w:rPr>
        <w:t>“</w:t>
      </w:r>
      <w:r>
        <w:rPr>
          <w:rFonts w:ascii="Arial" w:hAnsi="Arial" w:cs="Arial"/>
          <w:color w:val="0000FF"/>
          <w:lang w:val="en-GB"/>
        </w:rPr>
        <w:t>不适用</w:t>
      </w:r>
      <w:r>
        <w:rPr>
          <w:rFonts w:ascii="Arial" w:hAnsi="Arial" w:cs="Arial" w:eastAsia="Arial"/>
          <w:color w:val="0000FF"/>
          <w:lang w:val="en-GB"/>
        </w:rPr>
        <w:t>”</w:t>
      </w:r>
      <w:r>
        <w:rPr>
          <w:rFonts w:ascii="Arial" w:hAnsi="Arial" w:cs="Arial"/>
          <w:color w:val="0000FF"/>
          <w:lang w:val="en-GB"/>
        </w:rPr>
        <w:t>）。在极少数情况下，若某一步骤未被执行，则必须在所附提及相关问题的备忘录中给出理由。</w:t>
      </w:r>
      <w:r>
        <w:rPr>
          <w:rFonts w:ascii="Arial" w:hAnsi="Arial" w:cs="Arial" w:eastAsia="Arial"/>
          <w:color w:val="0000FF"/>
          <w:lang w:val="en-GB"/>
        </w:rPr>
        <w:t xml:space="preserve"> </w:t>
      </w:r>
    </w:p>
    <w:p>
      <w:pPr>
        <w:pStyle w:val="Normal"/>
        <w:tabs>
          <w:tab w:val="left" w:pos="848" w:leader="none"/>
        </w:tabs>
        <w:spacing w:lineRule="exact" w:line="440"/>
        <w:ind w:left="798" w:firstLine="420"/>
        <w:rPr>
          <w:rFonts w:ascii="Arial" w:hAnsi="Arial" w:eastAsia="黑体;SimHei" w:cs="Arial"/>
          <w:color w:val="0000FF"/>
          <w:sz w:val="16"/>
          <w:szCs w:val="16"/>
          <w:lang w:val="en-GB"/>
        </w:rPr>
      </w:pPr>
      <w:r>
        <w:rPr>
          <w:rFonts w:eastAsia="黑体;SimHei" w:cs="Arial" w:ascii="Arial" w:hAnsi="Arial"/>
          <w:color w:val="0000FF"/>
          <w:sz w:val="16"/>
          <w:szCs w:val="16"/>
          <w:lang w:val="en-GB"/>
        </w:rPr>
      </w:r>
    </w:p>
    <w:sectPr>
      <w:headerReference w:type="default" r:id="rId2"/>
      <w:footerReference w:type="default" r:id="rId3"/>
      <w:type w:val="nextPage"/>
      <w:pgSz w:w="11906" w:h="16838"/>
      <w:pgMar w:left="1786" w:right="1133" w:header="851" w:top="1503" w:footer="992"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 w:name="楷体_GB2312">
    <w:charset w:val="86"/>
    <w:family w:val="modern"/>
    <w:pitch w:val="default"/>
  </w:font>
  <w:font w:name="隶书">
    <w:charset w:val="86"/>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rPr>
      <w:t>201</w:t>
    </w:r>
    <w:r>
      <w:rPr>
        <w:rFonts w:cs="Arial" w:ascii="Arial" w:hAnsi="Arial"/>
      </w:rPr>
      <w:t>3</w:t>
    </w:r>
    <w:r>
      <w:rPr>
        <w:rFonts w:cs="Arial" w:ascii="Arial" w:hAnsi="Arial"/>
      </w:rPr>
      <w:t>.</w:t>
    </w:r>
    <w:r>
      <w:rPr>
        <w:rFonts w:cs="Arial" w:ascii="Arial" w:hAnsi="Arial"/>
      </w:rPr>
      <w:t>08</w:t>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64135" cy="127635"/>
              <wp:effectExtent l="0" t="0" r="0" b="0"/>
              <wp:wrapSquare wrapText="largest"/>
              <wp:docPr id="2" name="Frame1"/>
              <a:graphic xmlns:a="http://schemas.openxmlformats.org/drawingml/2006/main">
                <a:graphicData uri="http://schemas.microsoft.com/office/word/2010/wordprocessingShape">
                  <wps:wsp>
                    <wps:cNvSpPr txBox="1"/>
                    <wps:spPr>
                      <a:xfrm>
                        <a:off x="0" y="0"/>
                        <a:ext cx="64135" cy="127635"/>
                      </a:xfrm>
                      <a:prstGeom prst="rect"/>
                      <a:solidFill>
                        <a:srgbClr val="FFFFFF">
                          <a:alpha val="0"/>
                        </a:srgbClr>
                      </a:solidFill>
                    </wps:spPr>
                    <wps:txbx>
                      <w:txbxContent>
                        <w:p>
                          <w:pPr>
                            <w:pStyle w:val="Footer"/>
                            <w:rPr>
                              <w:rStyle w:val="PageNumber"/>
                              <w:rFonts w:ascii="Arial" w:hAnsi="Arial" w:cs="Arial"/>
                            </w:rPr>
                          </w:pPr>
                          <w:r>
                            <w:rPr>
                              <w:rFonts w:cs="Arial" w:ascii="Arial" w:hAnsi="Arial"/>
                            </w:rPr>
                            <w:fldChar w:fldCharType="begin"/>
                          </w:r>
                          <w:r>
                            <w:instrText> PAGE </w:instrText>
                          </w:r>
                          <w:r>
                            <w:fldChar w:fldCharType="separate"/>
                          </w:r>
                          <w:r>
                            <w:t>3</w:t>
                          </w:r>
                          <w:r>
                            <w:fldChar w:fldCharType="end"/>
                          </w:r>
                        </w:p>
                      </w:txbxContent>
                    </wps:txbx>
                    <wps:bodyPr anchor="t">
                      <a:noAutofit/>
                    </wps:bodyPr>
                  </wps:wsp>
                </a:graphicData>
              </a:graphic>
            </wp:anchor>
          </w:drawing>
        </mc:Choice>
        <mc:Fallback>
          <w:pict>
            <v:rect fillcolor="#FFFFFF" style="position:absolute;rotation:0;width:5.05pt;height:10.05pt;margin-top:0.05pt;mso-position-vertical-relative:text;margin-left:222.15pt;mso-position-horizontal:center;mso-position-horizontal-relative:margin">
              <v:fill opacity="0f"/>
              <v:textbox>
                <w:txbxContent>
                  <w:p>
                    <w:pPr>
                      <w:pStyle w:val="Footer"/>
                      <w:rPr>
                        <w:rStyle w:val="PageNumber"/>
                        <w:rFonts w:ascii="Arial" w:hAnsi="Arial" w:cs="Arial"/>
                      </w:rPr>
                    </w:pPr>
                    <w:r>
                      <w:rPr>
                        <w:rFonts w:cs="Arial" w:ascii="Arial" w:hAnsi="Arial"/>
                      </w:rPr>
                      <w:fldChar w:fldCharType="begin"/>
                    </w:r>
                    <w:r>
                      <w:instrText> PAGE </w:instrText>
                    </w:r>
                    <w:r>
                      <w:fldChar w:fldCharType="separate"/>
                    </w:r>
                    <w:r>
                      <w:t>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0" w:color="000000"/>
      </w:pBdr>
      <w:tabs>
        <w:tab w:val="right" w:pos="8334" w:leader="none"/>
      </w:tabs>
      <w:jc w:val="both"/>
      <w:rPr/>
    </w:pPr>
    <w:r>
      <w:rPr>
        <w:rFonts w:eastAsia="隶书" w:ascii="隶书" w:hAnsi="隶书"/>
        <w:sz w:val="21"/>
        <w:szCs w:val="21"/>
      </w:rPr>
      <w:t>4100-4</w:t>
    </w:r>
    <w:r>
      <w:rPr>
        <w:rFonts w:ascii="隶书" w:hAnsi="隶书" w:eastAsia="隶书"/>
        <w:sz w:val="21"/>
        <w:szCs w:val="21"/>
      </w:rPr>
      <w:t>银行函证核对表</w:t>
    </w:r>
    <w:r>
      <w:rPr>
        <w:rFonts w:ascii="隶书" w:hAnsi="隶书" w:eastAsia="隶书"/>
        <w:sz w:val="24"/>
        <w:szCs w:val="24"/>
      </w:rPr>
      <w:t xml:space="preserve">                                      </w:t>
    </w:r>
    <w:r>
      <w:rPr>
        <w:rFonts w:ascii="Calibri" w:hAnsi="Calibri" w:cs="Calibri"/>
        <w:sz w:val="21"/>
        <w:szCs w:val="22"/>
        <w:lang w:val="en-US" w:eastAsia="en-US"/>
      </w:rPr>
      <w:drawing>
        <wp:inline distT="0" distB="0" distL="0" distR="0">
          <wp:extent cx="1361440" cy="2571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361440" cy="257175"/>
                  </a:xfrm>
                  <a:prstGeom prst="rect">
                    <a:avLst/>
                  </a:prstGeom>
                </pic:spPr>
              </pic:pic>
            </a:graphicData>
          </a:graphic>
        </wp:inline>
      </w:drawing>
    </w:r>
    <w:r>
      <w:rPr>
        <w:rFonts w:ascii="隶书" w:hAnsi="隶书" w:eastAsia="隶书"/>
        <w:sz w:val="24"/>
        <w:szCs w:val="24"/>
      </w:rPr>
      <w:t xml:space="preserve">      </w:t>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5">
    <w:name w:val="纯文本"/>
    <w:basedOn w:val="Normal"/>
    <w:qFormat/>
    <w:pPr/>
    <w:rPr>
      <w:rFonts w:ascii="宋体;SimSun" w:hAnsi="宋体;SimSun" w:cs="Courier New"/>
      <w:szCs w:val="21"/>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129</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2006-10-29T18:41:00Z</dcterms:created>
  <dc:creator>IBM</dc:creator>
  <dc:description/>
  <dc:language>en-US</dc:language>
  <cp:lastModifiedBy>马明明</cp:lastModifiedBy>
  <dcterms:modified xsi:type="dcterms:W3CDTF">2014-01-13T04:44:00Z</dcterms:modified>
  <cp:revision>13</cp:revision>
  <dc:subject/>
  <dc:title>预备会议纪要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