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7"/>
        <w:numPr>
          <w:ilvl w:val="0"/>
          <w:numId w:val="0"/>
        </w:numPr>
        <w:spacing w:before="156" w:after="156"/>
        <w:jc w:val="center"/>
        <w:outlineLvl w:val="0"/>
        <w:rPr>
          <w:rFonts w:ascii="Arial" w:hAnsi="Arial" w:cs="Arial"/>
          <w:sz w:val="24"/>
          <w:szCs w:val="24"/>
        </w:rPr>
      </w:pPr>
      <w:r>
        <w:rPr>
          <w:rFonts w:ascii="Arial" w:hAnsi="Arial" w:cs="Arial"/>
          <w:b/>
          <w:sz w:val="24"/>
          <w:szCs w:val="24"/>
        </w:rPr>
        <w:t>执行会计分录测试和其他与舞弊事项相关的审计程序</w:t>
      </w:r>
    </w:p>
    <w:tbl>
      <w:tblPr>
        <w:tblW w:w="8509"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548"/>
        <w:gridCol w:w="1854"/>
        <w:gridCol w:w="1411"/>
        <w:gridCol w:w="1415"/>
        <w:gridCol w:w="860"/>
        <w:gridCol w:w="1421"/>
      </w:tblGrid>
      <w:tr>
        <w:trPr>
          <w:trHeight w:val="457" w:hRule="atLeast"/>
          <w:cantSplit w:val="true"/>
        </w:trPr>
        <w:tc>
          <w:tcPr>
            <w:tcW w:w="1548"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7"/>
              <w:rPr>
                <w:rFonts w:ascii="Arial" w:hAnsi="Arial" w:cs="Arial"/>
              </w:rPr>
            </w:pPr>
            <w:r>
              <w:rPr>
                <w:rFonts w:ascii="Arial" w:hAnsi="Arial" w:cs="Arial"/>
                <w:b/>
              </w:rPr>
              <w:t>被审计单位：</w:t>
            </w:r>
          </w:p>
        </w:tc>
        <w:tc>
          <w:tcPr>
            <w:tcW w:w="1854"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7"/>
              <w:snapToGrid w:val="false"/>
              <w:rPr>
                <w:rFonts w:ascii="Arial" w:hAnsi="Arial" w:cs="Arial"/>
              </w:rPr>
            </w:pPr>
            <w:r>
              <w:rPr>
                <w:rFonts w:cs="Arial" w:ascii="Arial" w:hAnsi="Arial"/>
              </w:rPr>
            </w:r>
          </w:p>
        </w:tc>
        <w:tc>
          <w:tcPr>
            <w:tcW w:w="141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7"/>
              <w:jc w:val="center"/>
              <w:rPr>
                <w:rFonts w:ascii="Arial" w:hAnsi="Arial" w:cs="Arial"/>
                <w:b/>
                <w:b/>
              </w:rPr>
            </w:pPr>
            <w:r>
              <w:rPr>
                <w:rFonts w:ascii="Arial" w:hAnsi="Arial" w:cs="Arial"/>
                <w:b/>
              </w:rPr>
              <w:t>索引号：</w:t>
            </w:r>
          </w:p>
        </w:tc>
        <w:tc>
          <w:tcPr>
            <w:tcW w:w="141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7"/>
              <w:jc w:val="center"/>
              <w:rPr>
                <w:rFonts w:ascii="Arial" w:hAnsi="Arial" w:cs="Arial"/>
                <w:b/>
                <w:b/>
              </w:rPr>
            </w:pPr>
            <w:r>
              <w:rPr>
                <w:rFonts w:cs="Arial" w:ascii="Arial" w:hAnsi="Arial"/>
                <w:b/>
              </w:rPr>
              <w:t>7100</w:t>
            </w:r>
          </w:p>
        </w:tc>
        <w:tc>
          <w:tcPr>
            <w:tcW w:w="8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7"/>
              <w:jc w:val="center"/>
              <w:rPr>
                <w:rFonts w:ascii="Arial" w:hAnsi="Arial" w:cs="Arial"/>
                <w:b/>
                <w:b/>
              </w:rPr>
            </w:pPr>
            <w:r>
              <w:rPr>
                <w:rFonts w:ascii="Arial" w:hAnsi="Arial" w:cs="Arial"/>
                <w:b/>
              </w:rPr>
              <w:t>页次：</w:t>
            </w:r>
          </w:p>
        </w:tc>
        <w:tc>
          <w:tcPr>
            <w:tcW w:w="1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Style7"/>
              <w:snapToGrid w:val="false"/>
              <w:jc w:val="center"/>
              <w:rPr>
                <w:rFonts w:ascii="Arial" w:hAnsi="Arial" w:cs="Arial"/>
                <w:b/>
                <w:b/>
              </w:rPr>
            </w:pPr>
            <w:r>
              <w:rPr>
                <w:rFonts w:cs="Arial" w:ascii="Arial" w:hAnsi="Arial"/>
                <w:b/>
              </w:rPr>
            </w:r>
          </w:p>
        </w:tc>
      </w:tr>
      <w:tr>
        <w:trPr>
          <w:trHeight w:val="462" w:hRule="atLeast"/>
          <w:cantSplit w:val="true"/>
        </w:trPr>
        <w:tc>
          <w:tcPr>
            <w:tcW w:w="1548"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Style7"/>
              <w:snapToGrid w:val="false"/>
              <w:jc w:val="center"/>
              <w:rPr>
                <w:rFonts w:ascii="Arial" w:hAnsi="Arial" w:cs="Arial"/>
                <w:szCs w:val="21"/>
              </w:rPr>
            </w:pPr>
            <w:r>
              <w:rPr>
                <w:rFonts w:cs="Arial" w:ascii="Arial" w:hAnsi="Arial"/>
                <w:szCs w:val="21"/>
              </w:rPr>
            </w:r>
          </w:p>
        </w:tc>
        <w:tc>
          <w:tcPr>
            <w:tcW w:w="1854"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Style7"/>
              <w:snapToGrid w:val="false"/>
              <w:jc w:val="center"/>
              <w:rPr>
                <w:rFonts w:ascii="Arial" w:hAnsi="Arial" w:cs="Arial"/>
              </w:rPr>
            </w:pPr>
            <w:r>
              <w:rPr>
                <w:rFonts w:cs="Arial" w:ascii="Arial" w:hAnsi="Arial"/>
              </w:rPr>
            </w:r>
          </w:p>
        </w:tc>
        <w:tc>
          <w:tcPr>
            <w:tcW w:w="141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7"/>
              <w:jc w:val="center"/>
              <w:rPr>
                <w:rFonts w:ascii="Arial" w:hAnsi="Arial" w:cs="Arial"/>
                <w:b/>
                <w:b/>
              </w:rPr>
            </w:pPr>
            <w:r>
              <w:rPr>
                <w:rFonts w:ascii="Arial" w:hAnsi="Arial" w:cs="Arial"/>
                <w:b/>
              </w:rPr>
              <w:t>编制人：</w:t>
            </w:r>
          </w:p>
        </w:tc>
        <w:tc>
          <w:tcPr>
            <w:tcW w:w="141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7"/>
              <w:snapToGrid w:val="false"/>
              <w:jc w:val="center"/>
              <w:rPr>
                <w:rFonts w:ascii="Arial" w:hAnsi="Arial" w:cs="Arial"/>
                <w:b/>
                <w:b/>
              </w:rPr>
            </w:pPr>
            <w:r>
              <w:rPr>
                <w:rFonts w:cs="Arial" w:ascii="Arial" w:hAnsi="Arial"/>
                <w:b/>
              </w:rPr>
            </w:r>
          </w:p>
        </w:tc>
        <w:tc>
          <w:tcPr>
            <w:tcW w:w="8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7"/>
              <w:jc w:val="center"/>
              <w:rPr>
                <w:rFonts w:ascii="Arial" w:hAnsi="Arial" w:cs="Arial"/>
                <w:b/>
                <w:b/>
              </w:rPr>
            </w:pPr>
            <w:r>
              <w:rPr>
                <w:rFonts w:ascii="Arial" w:hAnsi="Arial" w:cs="Arial"/>
                <w:b/>
              </w:rPr>
              <w:t>日期：</w:t>
            </w:r>
          </w:p>
        </w:tc>
        <w:tc>
          <w:tcPr>
            <w:tcW w:w="1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Style7"/>
              <w:snapToGrid w:val="false"/>
              <w:jc w:val="center"/>
              <w:rPr>
                <w:rFonts w:ascii="Arial" w:hAnsi="Arial" w:cs="Arial"/>
                <w:b/>
                <w:b/>
              </w:rPr>
            </w:pPr>
            <w:r>
              <w:rPr>
                <w:rFonts w:cs="Arial" w:ascii="Arial" w:hAnsi="Arial"/>
                <w:b/>
              </w:rPr>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Style7"/>
              <w:rPr>
                <w:rFonts w:ascii="Arial" w:hAnsi="Arial" w:cs="Arial"/>
              </w:rPr>
            </w:pPr>
            <w:r>
              <w:rPr>
                <w:rFonts w:ascii="Arial" w:hAnsi="Arial" w:cs="Arial"/>
                <w:b/>
              </w:rPr>
              <w:t>财务报表截止日</w:t>
            </w:r>
            <w:r>
              <w:rPr>
                <w:rFonts w:cs="Arial" w:ascii="Arial" w:hAnsi="Arial"/>
                <w:b/>
              </w:rPr>
              <w:t>/</w:t>
            </w:r>
            <w:r>
              <w:rPr>
                <w:rFonts w:ascii="Arial" w:hAnsi="Arial" w:cs="Arial"/>
                <w:b/>
              </w:rPr>
              <w:t>期间：</w:t>
            </w:r>
          </w:p>
        </w:tc>
        <w:tc>
          <w:tcPr>
            <w:tcW w:w="185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Style7"/>
              <w:snapToGrid w:val="false"/>
              <w:rPr>
                <w:rFonts w:ascii="Arial" w:hAnsi="Arial" w:cs="Arial"/>
              </w:rPr>
            </w:pPr>
            <w:r>
              <w:rPr>
                <w:rFonts w:cs="Arial" w:ascii="Arial" w:hAnsi="Arial"/>
              </w:rPr>
            </w:r>
          </w:p>
        </w:tc>
        <w:tc>
          <w:tcPr>
            <w:tcW w:w="141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7"/>
              <w:jc w:val="center"/>
              <w:rPr>
                <w:rFonts w:ascii="Arial" w:hAnsi="Arial" w:cs="Arial"/>
                <w:b/>
                <w:b/>
              </w:rPr>
            </w:pPr>
            <w:r>
              <w:rPr>
                <w:rFonts w:ascii="Arial" w:hAnsi="Arial" w:cs="Arial"/>
                <w:b/>
              </w:rPr>
              <w:t>复核人：</w:t>
            </w:r>
          </w:p>
        </w:tc>
        <w:tc>
          <w:tcPr>
            <w:tcW w:w="141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7"/>
              <w:snapToGrid w:val="false"/>
              <w:jc w:val="center"/>
              <w:rPr>
                <w:rFonts w:ascii="Arial" w:hAnsi="Arial" w:cs="Arial"/>
                <w:b/>
                <w:b/>
              </w:rPr>
            </w:pPr>
            <w:r>
              <w:rPr>
                <w:rFonts w:cs="Arial" w:ascii="Arial" w:hAnsi="Arial"/>
                <w:b/>
              </w:rPr>
            </w:r>
          </w:p>
        </w:tc>
        <w:tc>
          <w:tcPr>
            <w:tcW w:w="8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7"/>
              <w:jc w:val="center"/>
              <w:rPr>
                <w:rFonts w:ascii="Arial" w:hAnsi="Arial" w:cs="Arial"/>
                <w:b/>
                <w:b/>
              </w:rPr>
            </w:pPr>
            <w:r>
              <w:rPr>
                <w:rFonts w:ascii="Arial" w:hAnsi="Arial" w:cs="Arial"/>
                <w:b/>
              </w:rPr>
              <w:t>日期：</w:t>
            </w:r>
          </w:p>
        </w:tc>
        <w:tc>
          <w:tcPr>
            <w:tcW w:w="1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Style7"/>
              <w:snapToGrid w:val="false"/>
              <w:jc w:val="center"/>
              <w:rPr>
                <w:rFonts w:ascii="Arial" w:hAnsi="Arial" w:cs="Arial"/>
                <w:b/>
                <w:b/>
              </w:rPr>
            </w:pPr>
            <w:r>
              <w:rPr>
                <w:rFonts w:cs="Arial" w:ascii="Arial" w:hAnsi="Arial"/>
                <w:b/>
              </w:rPr>
            </w:r>
          </w:p>
        </w:tc>
      </w:tr>
    </w:tbl>
    <w:p>
      <w:pPr>
        <w:pStyle w:val="Style7"/>
        <w:spacing w:lineRule="exact" w:line="120"/>
        <w:jc w:val="center"/>
        <w:rPr>
          <w:rFonts w:ascii="Arial" w:hAnsi="Arial" w:cs="Arial"/>
        </w:rPr>
      </w:pPr>
      <w:r>
        <w:rPr>
          <w:rFonts w:cs="Arial" w:ascii="Arial" w:hAnsi="Arial"/>
        </w:rPr>
      </w:r>
    </w:p>
    <w:p>
      <w:pPr>
        <w:pStyle w:val="Normal"/>
        <w:spacing w:lineRule="exact" w:line="440"/>
        <w:rPr>
          <w:rFonts w:ascii="Arial" w:hAnsi="Arial" w:cs="Arial"/>
          <w:color w:val="0000FF"/>
          <w:szCs w:val="21"/>
        </w:rPr>
      </w:pPr>
      <w:r>
        <w:rPr>
          <w:rFonts w:cs="Arial" w:ascii="Arial" w:hAnsi="Arial"/>
          <w:color w:val="0000FF"/>
          <w:szCs w:val="21"/>
        </w:rPr>
      </w:r>
    </w:p>
    <w:p>
      <w:pPr>
        <w:pStyle w:val="Normal"/>
        <w:spacing w:lineRule="exact" w:line="440"/>
        <w:rPr>
          <w:rFonts w:ascii="Arial" w:hAnsi="Arial" w:cs="Arial"/>
          <w:color w:val="0000FF"/>
          <w:szCs w:val="21"/>
        </w:rPr>
      </w:pPr>
      <w:r>
        <w:rPr>
          <w:rFonts w:ascii="Arial" w:hAnsi="Arial" w:cs="Arial"/>
          <w:color w:val="0000FF"/>
          <w:szCs w:val="21"/>
        </w:rPr>
        <w:t>编制说明：</w:t>
      </w:r>
    </w:p>
    <w:p>
      <w:pPr>
        <w:pStyle w:val="Body"/>
        <w:spacing w:lineRule="exact" w:line="440" w:before="0" w:after="0"/>
        <w:ind w:firstLine="420"/>
        <w:rPr>
          <w:rFonts w:ascii="Arial" w:hAnsi="Arial" w:cs="Arial"/>
          <w:sz w:val="21"/>
          <w:szCs w:val="21"/>
          <w:lang w:eastAsia="zh-CN"/>
        </w:rPr>
      </w:pPr>
      <w:r>
        <w:rPr>
          <w:rFonts w:cs="Arial" w:ascii="Arial" w:hAnsi="Arial"/>
          <w:color w:val="0000FF"/>
          <w:sz w:val="21"/>
          <w:szCs w:val="21"/>
          <w:lang w:eastAsia="zh-CN"/>
        </w:rPr>
        <w:t>1</w:t>
      </w:r>
      <w:r>
        <w:rPr>
          <w:rFonts w:ascii="Arial" w:hAnsi="Arial" w:cs="Arial"/>
          <w:color w:val="0000FF"/>
          <w:sz w:val="21"/>
          <w:szCs w:val="21"/>
          <w:lang w:eastAsia="zh-CN"/>
        </w:rPr>
        <w:t>、本底稿主要记录项目组执行会计分录测试和其他舞弊事项所执行的审计程序，相关的要求及指引参见</w:t>
      </w:r>
      <w:r>
        <w:rPr>
          <w:rFonts w:cs="Arial" w:ascii="Arial" w:hAnsi="Arial"/>
          <w:b/>
          <w:color w:val="0000FF"/>
          <w:sz w:val="21"/>
          <w:szCs w:val="21"/>
          <w:lang w:eastAsia="zh-CN"/>
        </w:rPr>
        <w:t>D30</w:t>
      </w:r>
      <w:r>
        <w:rPr>
          <w:rFonts w:ascii="Arial" w:hAnsi="Arial" w:cs="Arial"/>
          <w:color w:val="0000FF"/>
          <w:sz w:val="21"/>
          <w:szCs w:val="21"/>
          <w:lang w:eastAsia="zh-CN"/>
        </w:rPr>
        <w:t>执行记账分录测试和其他舞弊事项相关的审计程序。</w:t>
      </w:r>
    </w:p>
    <w:p>
      <w:pPr>
        <w:pStyle w:val="Normal"/>
        <w:spacing w:lineRule="exact" w:line="440"/>
        <w:ind w:firstLine="420"/>
        <w:rPr>
          <w:rFonts w:ascii="Arial" w:hAnsi="Arial" w:cs="Arial"/>
          <w:color w:val="0000FF"/>
          <w:szCs w:val="21"/>
        </w:rPr>
      </w:pPr>
      <w:r>
        <w:rPr>
          <w:rFonts w:cs="Arial" w:ascii="Arial" w:hAnsi="Arial"/>
          <w:color w:val="0000FF"/>
          <w:szCs w:val="21"/>
        </w:rPr>
        <w:t>2</w:t>
      </w:r>
      <w:r>
        <w:rPr>
          <w:rFonts w:ascii="Arial" w:hAnsi="Arial" w:cs="Arial"/>
          <w:color w:val="0000FF"/>
          <w:szCs w:val="21"/>
        </w:rPr>
        <w:t>、本底稿蓝字部分为提示性内容，项目组应根据项目实际情况编制，并删除蓝字部分。</w:t>
      </w:r>
    </w:p>
    <w:p>
      <w:pPr>
        <w:pStyle w:val="Normal"/>
        <w:numPr>
          <w:ilvl w:val="0"/>
          <w:numId w:val="0"/>
        </w:numPr>
        <w:outlineLvl w:val="0"/>
        <w:rPr>
          <w:rFonts w:ascii="Arial" w:hAnsi="Arial" w:cs="Arial"/>
          <w:b/>
          <w:b/>
          <w:color w:val="0000FF"/>
          <w:szCs w:val="21"/>
        </w:rPr>
      </w:pPr>
      <w:r>
        <w:rPr>
          <w:rFonts w:cs="Arial" w:ascii="Arial" w:hAnsi="Arial"/>
          <w:b/>
          <w:color w:val="0000FF"/>
          <w:szCs w:val="21"/>
        </w:rPr>
      </w:r>
    </w:p>
    <w:p>
      <w:pPr>
        <w:pStyle w:val="Normal"/>
        <w:numPr>
          <w:ilvl w:val="0"/>
          <w:numId w:val="0"/>
        </w:numPr>
        <w:spacing w:lineRule="exact" w:line="440" w:before="156" w:after="156"/>
        <w:ind w:firstLine="422"/>
        <w:outlineLvl w:val="0"/>
        <w:rPr>
          <w:rFonts w:ascii="Arial" w:hAnsi="Arial" w:cs="Arial"/>
          <w:b/>
          <w:b/>
          <w:szCs w:val="21"/>
        </w:rPr>
      </w:pPr>
      <w:r>
        <w:rPr>
          <w:rFonts w:cs="Arial" w:ascii="Arial" w:hAnsi="Arial"/>
          <w:b/>
          <w:szCs w:val="21"/>
        </w:rPr>
        <w:t>1</w:t>
      </w:r>
      <w:r>
        <w:rPr>
          <w:rFonts w:ascii="Arial" w:hAnsi="Arial" w:cs="Arial"/>
          <w:b/>
          <w:szCs w:val="21"/>
        </w:rPr>
        <w:t>、分析和筛选数据</w:t>
      </w:r>
    </w:p>
    <w:tbl>
      <w:tblPr>
        <w:tblW w:w="8560"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8560"/>
      </w:tblGrid>
      <w:tr>
        <w:trPr/>
        <w:tc>
          <w:tcPr>
            <w:tcW w:w="8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Body"/>
              <w:spacing w:lineRule="exact" w:line="440" w:before="0" w:after="0"/>
              <w:ind w:firstLine="420"/>
              <w:rPr>
                <w:rFonts w:ascii="Arial" w:hAnsi="Arial" w:cs="Arial"/>
                <w:color w:val="0000FF"/>
                <w:sz w:val="21"/>
                <w:szCs w:val="21"/>
                <w:lang w:eastAsia="zh-CN"/>
              </w:rPr>
            </w:pPr>
            <w:r>
              <w:rPr>
                <w:rFonts w:ascii="Arial" w:hAnsi="Arial" w:cs="Arial"/>
                <w:color w:val="0000FF"/>
                <w:sz w:val="21"/>
                <w:szCs w:val="21"/>
                <w:lang w:eastAsia="zh-CN"/>
              </w:rPr>
              <w:t>记录选择目标测试样本的方法。</w:t>
            </w:r>
          </w:p>
          <w:p>
            <w:pPr>
              <w:pStyle w:val="Body"/>
              <w:spacing w:lineRule="exact" w:line="440" w:before="0" w:after="0"/>
              <w:ind w:firstLine="420"/>
              <w:rPr>
                <w:rFonts w:ascii="Arial" w:hAnsi="Arial" w:cs="Arial"/>
                <w:color w:val="0000FF"/>
                <w:sz w:val="21"/>
                <w:szCs w:val="21"/>
                <w:lang w:eastAsia="zh-CN"/>
              </w:rPr>
            </w:pPr>
            <w:r>
              <w:rPr>
                <w:rFonts w:ascii="Arial" w:hAnsi="Arial" w:cs="Arial"/>
                <w:color w:val="0000FF"/>
                <w:sz w:val="21"/>
                <w:szCs w:val="21"/>
                <w:lang w:eastAsia="zh-CN"/>
              </w:rPr>
              <w:t>例如：项目组选用了电子工具，记录筛选测试样本分录时所采用的标准及起点金额（例如：起点金额、时间范围、分录特征等）。</w:t>
            </w:r>
            <w:r>
              <w:rPr>
                <w:rFonts w:ascii="Arial" w:hAnsi="Arial" w:cs="Arial"/>
                <w:color w:val="0000FF"/>
                <w:szCs w:val="21"/>
                <w:lang w:eastAsia="zh-CN"/>
              </w:rPr>
              <w:t>如果适用，可能还需记录附加证据，比如使用一项电子工具执行数据分析程序得到的报告（或摘录）。</w:t>
            </w:r>
          </w:p>
          <w:p>
            <w:pPr>
              <w:pStyle w:val="Body"/>
              <w:spacing w:lineRule="exact" w:line="440" w:before="0" w:after="0"/>
              <w:ind w:firstLine="420"/>
              <w:rPr/>
            </w:pPr>
            <w:r>
              <w:rPr>
                <w:rFonts w:ascii="Arial" w:hAnsi="Arial" w:cs="Arial"/>
                <w:color w:val="0000FF"/>
                <w:sz w:val="21"/>
                <w:szCs w:val="21"/>
                <w:lang w:eastAsia="zh-CN"/>
              </w:rPr>
              <w:t>项目组在选取样本时为了引入不可预见因素，以分录类别进行筛选（包括：标准，非标准，系统，和人工会计分录）或筛选记录与关联方之间的交易的会计分录。</w:t>
            </w:r>
          </w:p>
        </w:tc>
      </w:tr>
    </w:tbl>
    <w:p>
      <w:pPr>
        <w:pStyle w:val="Normal"/>
        <w:rPr>
          <w:rFonts w:ascii="Arial" w:hAnsi="Arial" w:cs="Arial"/>
          <w:szCs w:val="21"/>
        </w:rPr>
      </w:pPr>
      <w:r>
        <w:rPr>
          <w:rFonts w:cs="Arial" w:ascii="Arial" w:hAnsi="Arial"/>
          <w:szCs w:val="21"/>
        </w:rPr>
      </w:r>
    </w:p>
    <w:p>
      <w:pPr>
        <w:pStyle w:val="Normal"/>
        <w:numPr>
          <w:ilvl w:val="0"/>
          <w:numId w:val="0"/>
        </w:numPr>
        <w:spacing w:lineRule="exact" w:line="440" w:before="156" w:after="156"/>
        <w:ind w:firstLine="422"/>
        <w:outlineLvl w:val="0"/>
        <w:rPr>
          <w:rFonts w:ascii="Arial" w:hAnsi="Arial" w:cs="Arial"/>
          <w:b/>
          <w:b/>
          <w:szCs w:val="21"/>
        </w:rPr>
      </w:pPr>
      <w:r>
        <w:rPr>
          <w:rFonts w:cs="Arial" w:ascii="Arial" w:hAnsi="Arial"/>
          <w:b/>
          <w:szCs w:val="21"/>
        </w:rPr>
        <w:t>2</w:t>
      </w:r>
      <w:r>
        <w:rPr>
          <w:rFonts w:ascii="Arial" w:hAnsi="Arial" w:cs="Arial"/>
          <w:b/>
          <w:szCs w:val="21"/>
        </w:rPr>
        <w:t>、选择会计分录和其他调整分录进行测试</w:t>
      </w:r>
    </w:p>
    <w:p>
      <w:pPr>
        <w:pStyle w:val="Body"/>
        <w:numPr>
          <w:ilvl w:val="0"/>
          <w:numId w:val="0"/>
        </w:numPr>
        <w:spacing w:lineRule="exact" w:line="440" w:before="156" w:after="156"/>
        <w:ind w:firstLine="422"/>
        <w:outlineLvl w:val="1"/>
        <w:rPr/>
      </w:pPr>
      <w:r>
        <w:rPr>
          <w:rFonts w:ascii="Arial" w:hAnsi="Arial" w:cs="Arial"/>
          <w:b/>
          <w:sz w:val="21"/>
          <w:szCs w:val="21"/>
          <w:lang w:eastAsia="zh-CN"/>
        </w:rPr>
        <w:t>（</w:t>
      </w:r>
      <w:r>
        <w:rPr>
          <w:rFonts w:cs="Arial" w:ascii="Arial" w:hAnsi="Arial"/>
          <w:b/>
          <w:sz w:val="21"/>
          <w:szCs w:val="21"/>
          <w:lang w:eastAsia="zh-CN"/>
        </w:rPr>
        <w:t>1</w:t>
      </w:r>
      <w:r>
        <w:rPr>
          <w:rFonts w:ascii="Arial" w:hAnsi="Arial" w:cs="Arial"/>
          <w:b/>
          <w:sz w:val="21"/>
          <w:szCs w:val="21"/>
          <w:lang w:eastAsia="zh-CN"/>
        </w:rPr>
        <w:t>）影响与因舞弊而产生的重大错报风险相关的会计科目的会计</w:t>
      </w:r>
      <w:r>
        <w:rPr/>
        <w:t>分录</w:t>
      </w:r>
    </w:p>
    <w:tbl>
      <w:tblPr>
        <w:tblW w:w="8560"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8560"/>
      </w:tblGrid>
      <w:tr>
        <w:trPr/>
        <w:tc>
          <w:tcPr>
            <w:tcW w:w="8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Body"/>
              <w:spacing w:lineRule="exact" w:line="440" w:before="0" w:after="0"/>
              <w:ind w:firstLine="420"/>
              <w:rPr>
                <w:rFonts w:ascii="Arial" w:hAnsi="Arial" w:cs="Arial"/>
                <w:color w:val="0000FF"/>
                <w:sz w:val="21"/>
                <w:szCs w:val="21"/>
                <w:lang w:eastAsia="zh-CN"/>
              </w:rPr>
            </w:pPr>
            <w:r>
              <w:rPr>
                <w:rFonts w:ascii="Arial" w:hAnsi="Arial" w:cs="Arial"/>
                <w:color w:val="0000FF"/>
                <w:sz w:val="21"/>
                <w:szCs w:val="21"/>
                <w:lang w:eastAsia="zh-CN"/>
              </w:rPr>
              <w:t>对于与因舞弊而产生的重大错报风险相关的会计科目，记录选择目标测试样本时考虑这些风险的策略。</w:t>
            </w:r>
          </w:p>
          <w:p>
            <w:pPr>
              <w:pStyle w:val="Body"/>
              <w:spacing w:lineRule="exact" w:line="440" w:before="0" w:after="0"/>
              <w:ind w:firstLine="420"/>
              <w:rPr>
                <w:rFonts w:ascii="Arial" w:hAnsi="Arial" w:cs="Arial"/>
                <w:b/>
                <w:b/>
                <w:sz w:val="21"/>
                <w:szCs w:val="21"/>
                <w:lang w:eastAsia="zh-CN"/>
              </w:rPr>
            </w:pPr>
            <w:r>
              <w:rPr>
                <w:rFonts w:ascii="Arial" w:hAnsi="Arial" w:cs="Arial"/>
                <w:color w:val="0000FF"/>
                <w:sz w:val="21"/>
                <w:szCs w:val="21"/>
                <w:lang w:eastAsia="zh-CN"/>
              </w:rPr>
              <w:t>例如，如果收入确认是一个被识别的舞弊风险，我们可能会从整体期间内以及在接近期末所做的与收入相关的会计分录报告中选择会计分录进行测试。例如：关账后所做的分录或期间结束后所做的冲销会计分录。</w:t>
            </w:r>
          </w:p>
        </w:tc>
      </w:tr>
    </w:tbl>
    <w:p>
      <w:pPr>
        <w:pStyle w:val="Body"/>
        <w:numPr>
          <w:ilvl w:val="0"/>
          <w:numId w:val="0"/>
        </w:numPr>
        <w:spacing w:lineRule="exact" w:line="440" w:before="156" w:after="156"/>
        <w:ind w:firstLine="422"/>
        <w:outlineLvl w:val="1"/>
        <w:rPr/>
      </w:pPr>
      <w:r>
        <w:rPr>
          <w:rFonts w:ascii="Arial" w:hAnsi="Arial" w:cs="Arial"/>
          <w:b/>
          <w:sz w:val="21"/>
          <w:szCs w:val="21"/>
          <w:lang w:eastAsia="zh-CN"/>
        </w:rPr>
        <w:t>（</w:t>
      </w:r>
      <w:r>
        <w:rPr>
          <w:rFonts w:cs="Arial" w:ascii="Arial" w:hAnsi="Arial"/>
          <w:b/>
          <w:sz w:val="21"/>
          <w:szCs w:val="21"/>
          <w:lang w:eastAsia="zh-CN"/>
        </w:rPr>
        <w:t>2</w:t>
      </w:r>
      <w:r>
        <w:rPr>
          <w:rFonts w:ascii="Arial" w:hAnsi="Arial" w:cs="Arial"/>
          <w:b/>
          <w:sz w:val="21"/>
          <w:szCs w:val="21"/>
          <w:lang w:eastAsia="zh-CN"/>
        </w:rPr>
        <w:t>）具有独特</w:t>
      </w:r>
      <w:r>
        <w:rPr/>
        <w:t>特征的记账分录</w:t>
      </w:r>
    </w:p>
    <w:tbl>
      <w:tblPr>
        <w:tblW w:w="8560"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8560"/>
      </w:tblGrid>
      <w:tr>
        <w:trPr/>
        <w:tc>
          <w:tcPr>
            <w:tcW w:w="8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Body"/>
              <w:numPr>
                <w:ilvl w:val="0"/>
                <w:numId w:val="0"/>
              </w:numPr>
              <w:ind w:firstLine="420"/>
              <w:outlineLvl w:val="1"/>
              <w:rPr/>
            </w:pPr>
            <w:r>
              <w:rPr>
                <w:rFonts w:ascii="Arial" w:hAnsi="Arial" w:cs="Arial"/>
                <w:color w:val="0000FF"/>
                <w:sz w:val="21"/>
                <w:szCs w:val="21"/>
                <w:lang w:eastAsia="zh-CN"/>
              </w:rPr>
              <w:t>记录项目组选择会计分录数据或获取针对独特或较高风险特征的不恰当的会计分录的策略。</w:t>
            </w:r>
          </w:p>
          <w:p>
            <w:pPr>
              <w:pStyle w:val="Body"/>
              <w:numPr>
                <w:ilvl w:val="0"/>
                <w:numId w:val="0"/>
              </w:numPr>
              <w:ind w:firstLine="420"/>
              <w:outlineLvl w:val="1"/>
              <w:rPr>
                <w:rFonts w:ascii="Arial" w:hAnsi="Arial" w:cs="Arial"/>
                <w:color w:val="0000FF"/>
                <w:sz w:val="21"/>
                <w:szCs w:val="21"/>
                <w:lang w:eastAsia="zh-CN"/>
              </w:rPr>
            </w:pPr>
            <w:r>
              <w:rPr>
                <w:rFonts w:cs="Arial" w:ascii="Arial" w:hAnsi="Arial"/>
                <w:color w:val="0000FF"/>
                <w:sz w:val="21"/>
                <w:szCs w:val="21"/>
                <w:lang w:eastAsia="zh-CN"/>
              </w:rPr>
            </w:r>
          </w:p>
          <w:p>
            <w:pPr>
              <w:pStyle w:val="Body"/>
              <w:numPr>
                <w:ilvl w:val="0"/>
                <w:numId w:val="0"/>
              </w:numPr>
              <w:spacing w:before="0" w:after="200"/>
              <w:ind w:firstLine="420"/>
              <w:outlineLvl w:val="1"/>
              <w:rPr>
                <w:rFonts w:ascii="Arial" w:hAnsi="Arial" w:cs="Arial"/>
                <w:color w:val="0000FF"/>
                <w:sz w:val="21"/>
                <w:szCs w:val="21"/>
                <w:lang w:eastAsia="zh-CN"/>
              </w:rPr>
            </w:pPr>
            <w:r>
              <w:rPr>
                <w:rFonts w:cs="Arial" w:ascii="Arial" w:hAnsi="Arial"/>
                <w:color w:val="0000FF"/>
                <w:sz w:val="21"/>
                <w:szCs w:val="21"/>
                <w:lang w:eastAsia="zh-CN"/>
              </w:rPr>
            </w:r>
          </w:p>
        </w:tc>
      </w:tr>
    </w:tbl>
    <w:p>
      <w:pPr>
        <w:pStyle w:val="Body"/>
        <w:numPr>
          <w:ilvl w:val="0"/>
          <w:numId w:val="0"/>
        </w:numPr>
        <w:spacing w:lineRule="exact" w:line="440" w:before="156" w:after="156"/>
        <w:ind w:firstLine="422"/>
        <w:outlineLvl w:val="1"/>
        <w:rPr/>
      </w:pPr>
      <w:r>
        <w:rPr>
          <w:rFonts w:ascii="Arial" w:hAnsi="Arial" w:cs="Arial"/>
          <w:b/>
          <w:sz w:val="21"/>
          <w:szCs w:val="21"/>
          <w:lang w:eastAsia="zh-CN"/>
        </w:rPr>
        <w:t>（</w:t>
      </w:r>
      <w:r>
        <w:rPr>
          <w:rFonts w:cs="Arial" w:ascii="Arial" w:hAnsi="Arial"/>
          <w:b/>
          <w:sz w:val="21"/>
          <w:szCs w:val="21"/>
          <w:lang w:eastAsia="zh-CN"/>
        </w:rPr>
        <w:t>3</w:t>
      </w:r>
      <w:r>
        <w:rPr>
          <w:rFonts w:ascii="Arial" w:hAnsi="Arial" w:cs="Arial"/>
          <w:b/>
          <w:sz w:val="21"/>
          <w:szCs w:val="21"/>
          <w:lang w:eastAsia="zh-CN"/>
        </w:rPr>
        <w:t>）会计</w:t>
      </w:r>
      <w:r>
        <w:rPr/>
        <w:t>分录所涉及的会计科目的性质和复杂性</w:t>
      </w:r>
    </w:p>
    <w:tbl>
      <w:tblPr>
        <w:tblW w:w="8560"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8560"/>
      </w:tblGrid>
      <w:tr>
        <w:trPr/>
        <w:tc>
          <w:tcPr>
            <w:tcW w:w="8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Body"/>
              <w:numPr>
                <w:ilvl w:val="0"/>
                <w:numId w:val="0"/>
              </w:numPr>
              <w:ind w:firstLine="420"/>
              <w:outlineLvl w:val="1"/>
              <w:rPr/>
            </w:pPr>
            <w:r>
              <w:rPr>
                <w:rFonts w:ascii="Arial" w:hAnsi="Arial" w:cs="Arial"/>
                <w:color w:val="0000FF"/>
                <w:sz w:val="21"/>
                <w:szCs w:val="21"/>
                <w:lang w:eastAsia="zh-CN"/>
              </w:rPr>
              <w:t>记录考虑个别特定或有较高风险的会计科目所做的会计分录时的策略。</w:t>
            </w:r>
          </w:p>
          <w:p>
            <w:pPr>
              <w:pStyle w:val="Body"/>
              <w:numPr>
                <w:ilvl w:val="0"/>
                <w:numId w:val="0"/>
              </w:numPr>
              <w:ind w:firstLine="420"/>
              <w:outlineLvl w:val="1"/>
              <w:rPr>
                <w:rFonts w:ascii="Arial" w:hAnsi="Arial" w:cs="Arial"/>
                <w:color w:val="0000FF"/>
                <w:sz w:val="21"/>
                <w:szCs w:val="21"/>
                <w:lang w:eastAsia="zh-CN"/>
              </w:rPr>
            </w:pPr>
            <w:r>
              <w:rPr>
                <w:rFonts w:cs="Arial" w:ascii="Arial" w:hAnsi="Arial"/>
                <w:color w:val="0000FF"/>
                <w:sz w:val="21"/>
                <w:szCs w:val="21"/>
                <w:lang w:eastAsia="zh-CN"/>
              </w:rPr>
            </w:r>
          </w:p>
          <w:p>
            <w:pPr>
              <w:pStyle w:val="Body"/>
              <w:numPr>
                <w:ilvl w:val="0"/>
                <w:numId w:val="0"/>
              </w:numPr>
              <w:spacing w:before="0" w:after="200"/>
              <w:ind w:firstLine="422"/>
              <w:outlineLvl w:val="1"/>
              <w:rPr>
                <w:rFonts w:ascii="Arial" w:hAnsi="Arial" w:cs="Arial"/>
                <w:b/>
                <w:b/>
                <w:color w:val="0000FF"/>
                <w:sz w:val="21"/>
                <w:szCs w:val="21"/>
                <w:lang w:eastAsia="zh-CN"/>
              </w:rPr>
            </w:pPr>
            <w:r>
              <w:rPr>
                <w:rFonts w:cs="Arial" w:ascii="Arial" w:hAnsi="Arial"/>
                <w:b/>
                <w:color w:val="0000FF"/>
                <w:sz w:val="21"/>
                <w:szCs w:val="21"/>
                <w:lang w:eastAsia="zh-CN"/>
              </w:rPr>
            </w:r>
          </w:p>
        </w:tc>
      </w:tr>
    </w:tbl>
    <w:p>
      <w:pPr>
        <w:pStyle w:val="Body"/>
        <w:numPr>
          <w:ilvl w:val="0"/>
          <w:numId w:val="0"/>
        </w:numPr>
        <w:spacing w:lineRule="exact" w:line="440" w:before="156" w:after="156"/>
        <w:ind w:firstLine="422"/>
        <w:outlineLvl w:val="1"/>
        <w:rPr/>
      </w:pPr>
      <w:r>
        <w:rPr>
          <w:rFonts w:ascii="Arial" w:hAnsi="Arial" w:cs="Arial"/>
          <w:b/>
          <w:sz w:val="21"/>
          <w:szCs w:val="21"/>
          <w:lang w:eastAsia="zh-CN"/>
        </w:rPr>
        <w:t>（</w:t>
      </w:r>
      <w:r>
        <w:rPr>
          <w:rFonts w:cs="Arial" w:ascii="Arial" w:hAnsi="Arial"/>
          <w:b/>
          <w:sz w:val="21"/>
          <w:szCs w:val="21"/>
          <w:lang w:eastAsia="zh-CN"/>
        </w:rPr>
        <w:t>4</w:t>
      </w:r>
      <w:r>
        <w:rPr>
          <w:rFonts w:ascii="Arial" w:hAnsi="Arial" w:cs="Arial"/>
          <w:b/>
          <w:sz w:val="21"/>
          <w:szCs w:val="21"/>
          <w:lang w:eastAsia="zh-CN"/>
        </w:rPr>
        <w:t>）会计分录类型，包括超出正常业务过程所做的会计分录和其他调整分录</w:t>
      </w:r>
      <w:r>
        <w:rPr>
          <w:rFonts w:eastAsia="Arial"/>
        </w:rPr>
        <w:t xml:space="preserve"> </w:t>
      </w:r>
    </w:p>
    <w:tbl>
      <w:tblPr>
        <w:tblW w:w="8560"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8560"/>
      </w:tblGrid>
      <w:tr>
        <w:trPr/>
        <w:tc>
          <w:tcPr>
            <w:tcW w:w="8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Body"/>
              <w:numPr>
                <w:ilvl w:val="0"/>
                <w:numId w:val="0"/>
              </w:numPr>
              <w:ind w:firstLine="420"/>
              <w:outlineLvl w:val="1"/>
              <w:rPr/>
            </w:pPr>
            <w:r>
              <w:rPr>
                <w:rFonts w:ascii="Arial" w:hAnsi="Arial" w:cs="Arial"/>
                <w:color w:val="0000FF"/>
                <w:sz w:val="21"/>
                <w:szCs w:val="21"/>
                <w:lang w:eastAsia="zh-CN"/>
              </w:rPr>
              <w:t>记录考虑不同会计分录类型的策略。</w:t>
            </w:r>
          </w:p>
          <w:p>
            <w:pPr>
              <w:pStyle w:val="Body"/>
              <w:numPr>
                <w:ilvl w:val="0"/>
                <w:numId w:val="0"/>
              </w:numPr>
              <w:ind w:firstLine="420"/>
              <w:outlineLvl w:val="1"/>
              <w:rPr>
                <w:rFonts w:ascii="Arial" w:hAnsi="Arial" w:cs="Arial"/>
                <w:color w:val="0000FF"/>
                <w:sz w:val="21"/>
                <w:szCs w:val="21"/>
                <w:lang w:eastAsia="zh-CN"/>
              </w:rPr>
            </w:pPr>
            <w:r>
              <w:rPr>
                <w:rFonts w:cs="Arial" w:ascii="Arial" w:hAnsi="Arial"/>
                <w:color w:val="0000FF"/>
                <w:sz w:val="21"/>
                <w:szCs w:val="21"/>
                <w:lang w:eastAsia="zh-CN"/>
              </w:rPr>
            </w:r>
          </w:p>
          <w:p>
            <w:pPr>
              <w:pStyle w:val="Body"/>
              <w:numPr>
                <w:ilvl w:val="0"/>
                <w:numId w:val="0"/>
              </w:numPr>
              <w:spacing w:before="0" w:after="200"/>
              <w:ind w:firstLine="422"/>
              <w:outlineLvl w:val="1"/>
              <w:rPr>
                <w:rFonts w:ascii="Arial" w:hAnsi="Arial" w:cs="Arial"/>
                <w:b/>
                <w:b/>
                <w:color w:val="0000FF"/>
                <w:sz w:val="21"/>
                <w:szCs w:val="21"/>
                <w:lang w:eastAsia="zh-CN"/>
              </w:rPr>
            </w:pPr>
            <w:r>
              <w:rPr>
                <w:rFonts w:cs="Arial" w:ascii="Arial" w:hAnsi="Arial"/>
                <w:b/>
                <w:color w:val="0000FF"/>
                <w:sz w:val="21"/>
                <w:szCs w:val="21"/>
                <w:lang w:eastAsia="zh-CN"/>
              </w:rPr>
            </w:r>
          </w:p>
        </w:tc>
      </w:tr>
    </w:tbl>
    <w:p>
      <w:pPr>
        <w:pStyle w:val="Body"/>
        <w:numPr>
          <w:ilvl w:val="0"/>
          <w:numId w:val="0"/>
        </w:numPr>
        <w:spacing w:lineRule="exact" w:line="440" w:before="156" w:after="156"/>
        <w:ind w:firstLine="422"/>
        <w:outlineLvl w:val="1"/>
        <w:rPr/>
      </w:pPr>
      <w:r>
        <w:rPr>
          <w:rFonts w:ascii="Arial" w:hAnsi="Arial" w:cs="Arial"/>
          <w:b/>
          <w:sz w:val="21"/>
          <w:szCs w:val="21"/>
          <w:lang w:eastAsia="zh-CN"/>
        </w:rPr>
        <w:t>（</w:t>
      </w:r>
      <w:r>
        <w:rPr>
          <w:rFonts w:cs="Arial" w:ascii="Arial" w:hAnsi="Arial"/>
          <w:b/>
          <w:sz w:val="21"/>
          <w:szCs w:val="21"/>
          <w:lang w:eastAsia="zh-CN"/>
        </w:rPr>
        <w:t>5</w:t>
      </w:r>
      <w:r>
        <w:rPr>
          <w:rFonts w:ascii="Arial" w:hAnsi="Arial" w:cs="Arial"/>
          <w:b/>
          <w:sz w:val="21"/>
          <w:szCs w:val="21"/>
          <w:lang w:eastAsia="zh-CN"/>
        </w:rPr>
        <w:t>）</w:t>
      </w:r>
      <w:r>
        <w:rPr/>
        <w:t>不可预见性</w:t>
      </w:r>
    </w:p>
    <w:tbl>
      <w:tblPr>
        <w:tblW w:w="8560"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8560"/>
      </w:tblGrid>
      <w:tr>
        <w:trPr/>
        <w:tc>
          <w:tcPr>
            <w:tcW w:w="8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Body"/>
              <w:numPr>
                <w:ilvl w:val="0"/>
                <w:numId w:val="0"/>
              </w:numPr>
              <w:ind w:firstLine="420"/>
              <w:outlineLvl w:val="1"/>
              <w:rPr/>
            </w:pPr>
            <w:r>
              <w:rPr>
                <w:rFonts w:ascii="Arial" w:hAnsi="Arial" w:cs="Arial"/>
                <w:color w:val="0000FF"/>
                <w:sz w:val="21"/>
                <w:szCs w:val="21"/>
                <w:lang w:eastAsia="zh-CN"/>
              </w:rPr>
              <w:t>记录我们如何在策略中引入不可预测性。</w:t>
            </w:r>
          </w:p>
          <w:p>
            <w:pPr>
              <w:pStyle w:val="Body"/>
              <w:numPr>
                <w:ilvl w:val="0"/>
                <w:numId w:val="0"/>
              </w:numPr>
              <w:ind w:firstLine="420"/>
              <w:outlineLvl w:val="1"/>
              <w:rPr>
                <w:rFonts w:ascii="Arial" w:hAnsi="Arial" w:cs="Arial"/>
                <w:color w:val="0000FF"/>
                <w:sz w:val="21"/>
                <w:szCs w:val="21"/>
                <w:lang w:eastAsia="zh-CN"/>
              </w:rPr>
            </w:pPr>
            <w:r>
              <w:rPr>
                <w:rFonts w:cs="Arial" w:ascii="Arial" w:hAnsi="Arial"/>
                <w:color w:val="0000FF"/>
                <w:sz w:val="21"/>
                <w:szCs w:val="21"/>
                <w:lang w:eastAsia="zh-CN"/>
              </w:rPr>
            </w:r>
          </w:p>
          <w:p>
            <w:pPr>
              <w:pStyle w:val="Body"/>
              <w:numPr>
                <w:ilvl w:val="0"/>
                <w:numId w:val="0"/>
              </w:numPr>
              <w:spacing w:before="0" w:after="200"/>
              <w:ind w:firstLine="420"/>
              <w:outlineLvl w:val="1"/>
              <w:rPr>
                <w:rFonts w:ascii="Arial" w:hAnsi="Arial" w:cs="Arial"/>
                <w:color w:val="0000FF"/>
                <w:sz w:val="21"/>
                <w:szCs w:val="21"/>
                <w:lang w:eastAsia="zh-CN"/>
              </w:rPr>
            </w:pPr>
            <w:r>
              <w:rPr>
                <w:rFonts w:cs="Arial" w:ascii="Arial" w:hAnsi="Arial"/>
                <w:color w:val="0000FF"/>
                <w:sz w:val="21"/>
                <w:szCs w:val="21"/>
                <w:lang w:eastAsia="zh-CN"/>
              </w:rPr>
            </w:r>
          </w:p>
        </w:tc>
      </w:tr>
    </w:tbl>
    <w:p>
      <w:pPr>
        <w:pStyle w:val="Normal"/>
        <w:numPr>
          <w:ilvl w:val="0"/>
          <w:numId w:val="0"/>
        </w:numPr>
        <w:spacing w:lineRule="exact" w:line="440" w:before="156" w:after="156"/>
        <w:ind w:firstLine="422"/>
        <w:outlineLvl w:val="0"/>
        <w:rPr>
          <w:rFonts w:ascii="Arial" w:hAnsi="Arial" w:cs="Arial"/>
          <w:b/>
          <w:b/>
          <w:szCs w:val="21"/>
        </w:rPr>
      </w:pPr>
      <w:r>
        <w:rPr>
          <w:rFonts w:cs="Arial" w:ascii="Arial" w:hAnsi="Arial"/>
          <w:b/>
          <w:szCs w:val="21"/>
        </w:rPr>
        <w:t>3</w:t>
      </w:r>
      <w:r>
        <w:rPr>
          <w:rFonts w:ascii="Arial" w:hAnsi="Arial" w:cs="Arial"/>
          <w:b/>
          <w:szCs w:val="21"/>
        </w:rPr>
        <w:t>、执行实质性程序</w:t>
      </w:r>
    </w:p>
    <w:tbl>
      <w:tblPr>
        <w:tblW w:w="8560"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8560"/>
      </w:tblGrid>
      <w:tr>
        <w:trPr/>
        <w:tc>
          <w:tcPr>
            <w:tcW w:w="8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Body"/>
              <w:numPr>
                <w:ilvl w:val="0"/>
                <w:numId w:val="0"/>
              </w:numPr>
              <w:outlineLvl w:val="1"/>
              <w:rPr/>
            </w:pPr>
            <w:r>
              <w:rPr>
                <w:rFonts w:ascii="Arial" w:hAnsi="Arial" w:cs="Arial"/>
                <w:color w:val="0000FF"/>
                <w:sz w:val="21"/>
                <w:szCs w:val="21"/>
                <w:lang w:eastAsia="zh-CN"/>
              </w:rPr>
              <w:t>记录或索引至相关工作底稿如下内容：</w:t>
            </w:r>
            <w:r>
              <w:rPr>
                <w:rFonts w:ascii="Arial" w:hAnsi="Arial" w:cs="Arial" w:eastAsia="Arial"/>
                <w:color w:val="0000FF"/>
                <w:sz w:val="21"/>
                <w:szCs w:val="21"/>
                <w:lang w:eastAsia="zh-CN"/>
              </w:rPr>
              <w:t xml:space="preserve"> </w:t>
            </w:r>
          </w:p>
          <w:p>
            <w:pPr>
              <w:pStyle w:val="Body"/>
              <w:numPr>
                <w:ilvl w:val="0"/>
                <w:numId w:val="0"/>
              </w:numPr>
              <w:ind w:firstLine="420"/>
              <w:outlineLvl w:val="1"/>
              <w:rPr/>
            </w:pPr>
            <w:r>
              <w:rPr>
                <w:rFonts w:ascii="Arial" w:hAnsi="Arial" w:cs="Arial"/>
                <w:color w:val="0000FF"/>
                <w:sz w:val="21"/>
                <w:szCs w:val="21"/>
                <w:lang w:eastAsia="zh-CN"/>
              </w:rPr>
              <w:t>（</w:t>
            </w:r>
            <w:r>
              <w:rPr>
                <w:rFonts w:cs="Arial" w:ascii="Arial" w:hAnsi="Arial"/>
                <w:color w:val="0000FF"/>
                <w:sz w:val="21"/>
                <w:szCs w:val="21"/>
                <w:lang w:eastAsia="zh-CN"/>
              </w:rPr>
              <w:t>1</w:t>
            </w:r>
            <w:r>
              <w:rPr>
                <w:rFonts w:ascii="Arial" w:hAnsi="Arial" w:cs="Arial"/>
                <w:color w:val="0000FF"/>
                <w:sz w:val="21"/>
                <w:szCs w:val="21"/>
                <w:lang w:eastAsia="zh-CN"/>
              </w:rPr>
              <w:t>）被选做目标测试样本的会计分录及其他调整分录；</w:t>
            </w:r>
          </w:p>
          <w:p>
            <w:pPr>
              <w:pStyle w:val="Body"/>
              <w:numPr>
                <w:ilvl w:val="0"/>
                <w:numId w:val="0"/>
              </w:numPr>
              <w:ind w:firstLine="420"/>
              <w:outlineLvl w:val="1"/>
              <w:rPr>
                <w:rFonts w:ascii="Arial" w:hAnsi="Arial" w:cs="Arial"/>
                <w:color w:val="0000FF"/>
                <w:sz w:val="21"/>
                <w:szCs w:val="21"/>
                <w:lang w:eastAsia="zh-CN"/>
              </w:rPr>
            </w:pPr>
            <w:r>
              <w:rPr>
                <w:rFonts w:ascii="Arial" w:hAnsi="Arial" w:cs="Arial"/>
                <w:color w:val="0000FF"/>
                <w:sz w:val="21"/>
                <w:szCs w:val="21"/>
                <w:lang w:eastAsia="zh-CN"/>
              </w:rPr>
              <w:t>（</w:t>
            </w:r>
            <w:r>
              <w:rPr>
                <w:rFonts w:cs="Arial" w:ascii="Arial" w:hAnsi="Arial"/>
                <w:color w:val="0000FF"/>
                <w:sz w:val="21"/>
                <w:szCs w:val="21"/>
                <w:lang w:eastAsia="zh-CN"/>
              </w:rPr>
              <w:t>2</w:t>
            </w:r>
            <w:r>
              <w:rPr>
                <w:rFonts w:ascii="Arial" w:hAnsi="Arial" w:cs="Arial"/>
                <w:color w:val="0000FF"/>
                <w:sz w:val="21"/>
                <w:szCs w:val="21"/>
                <w:lang w:eastAsia="zh-CN"/>
              </w:rPr>
              <w:t>）针对这些目标测试样本所执行的实质性测试程序；</w:t>
            </w:r>
          </w:p>
          <w:p>
            <w:pPr>
              <w:pStyle w:val="Body"/>
              <w:numPr>
                <w:ilvl w:val="0"/>
                <w:numId w:val="0"/>
              </w:numPr>
              <w:ind w:firstLine="420"/>
              <w:outlineLvl w:val="1"/>
              <w:rPr>
                <w:rFonts w:ascii="Arial" w:hAnsi="Arial" w:cs="Arial"/>
                <w:color w:val="0000FF"/>
                <w:sz w:val="21"/>
                <w:szCs w:val="21"/>
                <w:lang w:eastAsia="zh-CN"/>
              </w:rPr>
            </w:pPr>
            <w:r>
              <w:rPr>
                <w:rFonts w:ascii="Arial" w:hAnsi="Arial" w:cs="Arial"/>
                <w:color w:val="0000FF"/>
                <w:sz w:val="21"/>
                <w:szCs w:val="21"/>
                <w:lang w:eastAsia="zh-CN"/>
              </w:rPr>
              <w:t>（</w:t>
            </w:r>
            <w:r>
              <w:rPr>
                <w:rFonts w:cs="Arial" w:ascii="Arial" w:hAnsi="Arial"/>
                <w:color w:val="0000FF"/>
                <w:sz w:val="21"/>
                <w:szCs w:val="21"/>
                <w:lang w:eastAsia="zh-CN"/>
              </w:rPr>
              <w:t>3</w:t>
            </w:r>
            <w:r>
              <w:rPr>
                <w:rFonts w:ascii="Arial" w:hAnsi="Arial" w:cs="Arial"/>
                <w:color w:val="0000FF"/>
                <w:sz w:val="21"/>
                <w:szCs w:val="21"/>
                <w:lang w:eastAsia="zh-CN"/>
              </w:rPr>
              <w:t>）实质性测试程序得出的结论；</w:t>
            </w:r>
          </w:p>
          <w:p>
            <w:pPr>
              <w:pStyle w:val="Body"/>
              <w:numPr>
                <w:ilvl w:val="0"/>
                <w:numId w:val="0"/>
              </w:numPr>
              <w:ind w:firstLine="420"/>
              <w:outlineLvl w:val="1"/>
              <w:rPr>
                <w:rFonts w:ascii="Arial" w:hAnsi="Arial" w:cs="Arial"/>
                <w:color w:val="0000FF"/>
                <w:sz w:val="21"/>
                <w:szCs w:val="21"/>
                <w:lang w:eastAsia="zh-CN"/>
              </w:rPr>
            </w:pPr>
            <w:r>
              <w:rPr>
                <w:rFonts w:ascii="Arial" w:hAnsi="Arial" w:cs="Arial"/>
                <w:color w:val="0000FF"/>
                <w:sz w:val="21"/>
                <w:szCs w:val="21"/>
                <w:lang w:eastAsia="zh-CN"/>
              </w:rPr>
              <w:t>（</w:t>
            </w:r>
            <w:r>
              <w:rPr>
                <w:rFonts w:cs="Arial" w:ascii="Arial" w:hAnsi="Arial"/>
                <w:color w:val="0000FF"/>
                <w:sz w:val="21"/>
                <w:szCs w:val="21"/>
                <w:lang w:eastAsia="zh-CN"/>
              </w:rPr>
              <w:t>4</w:t>
            </w:r>
            <w:r>
              <w:rPr>
                <w:rFonts w:ascii="Arial" w:hAnsi="Arial" w:cs="Arial"/>
                <w:color w:val="0000FF"/>
                <w:sz w:val="21"/>
                <w:szCs w:val="21"/>
                <w:lang w:eastAsia="zh-CN"/>
              </w:rPr>
              <w:t>）程序执行人和复核人。</w:t>
            </w:r>
          </w:p>
          <w:p>
            <w:pPr>
              <w:pStyle w:val="Body"/>
              <w:numPr>
                <w:ilvl w:val="0"/>
                <w:numId w:val="0"/>
              </w:numPr>
              <w:spacing w:before="0" w:after="200"/>
              <w:ind w:firstLine="420"/>
              <w:outlineLvl w:val="1"/>
              <w:rPr>
                <w:rFonts w:ascii="Arial" w:hAnsi="Arial" w:cs="Arial"/>
                <w:sz w:val="21"/>
                <w:szCs w:val="21"/>
                <w:lang w:eastAsia="zh-CN"/>
              </w:rPr>
            </w:pPr>
            <w:r>
              <w:rPr>
                <w:rFonts w:ascii="Arial" w:hAnsi="Arial" w:cs="Arial"/>
                <w:color w:val="0000FF"/>
                <w:sz w:val="21"/>
                <w:szCs w:val="21"/>
                <w:lang w:eastAsia="zh-CN"/>
              </w:rPr>
              <w:t>（当没有适当的证据能支持会计分录时，我们应考虑是否存在虚假财务报告或会计分录隐藏了资产挪用的可能性。有关当识别出可能存在由于舞弊而导致错报时执行的审计程序的进一步要求和指引，参见</w:t>
            </w:r>
            <w:r>
              <w:rPr>
                <w:rFonts w:cs="Arial" w:ascii="Arial" w:hAnsi="Arial"/>
                <w:b/>
                <w:color w:val="0000FF"/>
                <w:sz w:val="21"/>
                <w:szCs w:val="21"/>
                <w:lang w:eastAsia="zh-CN"/>
              </w:rPr>
              <w:t>E10</w:t>
            </w:r>
            <w:r>
              <w:rPr>
                <w:rFonts w:ascii="Arial" w:hAnsi="Arial" w:cs="Arial"/>
                <w:color w:val="0000FF"/>
                <w:sz w:val="21"/>
                <w:szCs w:val="21"/>
                <w:lang w:eastAsia="zh-CN"/>
              </w:rPr>
              <w:t>结束和小结审计工作。）</w:t>
            </w:r>
          </w:p>
        </w:tc>
      </w:tr>
    </w:tbl>
    <w:p>
      <w:pPr>
        <w:pStyle w:val="Normal"/>
        <w:numPr>
          <w:ilvl w:val="0"/>
          <w:numId w:val="0"/>
        </w:numPr>
        <w:spacing w:lineRule="exact" w:line="440" w:before="156" w:after="156"/>
        <w:ind w:firstLine="422"/>
        <w:outlineLvl w:val="0"/>
        <w:rPr>
          <w:rFonts w:ascii="Arial" w:hAnsi="Arial" w:cs="Arial"/>
          <w:b/>
          <w:b/>
          <w:szCs w:val="21"/>
        </w:rPr>
      </w:pPr>
      <w:r>
        <w:rPr>
          <w:rFonts w:cs="Arial" w:ascii="Arial" w:hAnsi="Arial"/>
          <w:b/>
          <w:szCs w:val="21"/>
        </w:rPr>
      </w:r>
    </w:p>
    <w:sectPr>
      <w:headerReference w:type="default" r:id="rId2"/>
      <w:footerReference w:type="default" r:id="rId3"/>
      <w:type w:val="nextPage"/>
      <w:pgSz w:w="11906" w:h="16838"/>
      <w:pgMar w:left="1786" w:right="1786" w:header="851" w:top="1503"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1"/>
    <w:family w:val="roman"/>
    <w:pitch w:val="variable"/>
  </w:font>
  <w:font w:name="Courier New">
    <w:charset w:val="00"/>
    <w:family w:val="modern"/>
    <w:pitch w:val="default"/>
  </w:font>
  <w:font w:name="Wingdings">
    <w:charset w:val="02"/>
    <w:family w:val="auto"/>
    <w:pitch w:val="variable"/>
  </w:font>
  <w:font w:name="宋体">
    <w:altName w:val="SimSun"/>
    <w:charset w:val="86"/>
    <w:family w:val="auto"/>
    <w:pitch w:val="variable"/>
  </w:font>
  <w:font w:name="Liberation Sans">
    <w:altName w:val="Arial"/>
    <w:charset w:val="00"/>
    <w:family w:val="swiss"/>
    <w:pitch w:val="variable"/>
  </w:font>
  <w:font w:name="Verdana">
    <w:charset w:val="00"/>
    <w:family w:val="swiss"/>
    <w:pitch w:val="variable"/>
  </w:font>
  <w:font w:name="隶书">
    <w:charset w:val="86"/>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Arial" w:hAnsi="Arial" w:cs="Arial"/>
      </w:rPr>
    </w:pPr>
    <w:r>
      <w:rPr>
        <w:rFonts w:cs="Arial" w:ascii="Arial" w:hAnsi="Arial"/>
      </w:rPr>
      <w:t>201</w:t>
    </w:r>
    <w:r>
      <w:rPr>
        <w:rFonts w:cs="Arial" w:ascii="Arial" w:hAnsi="Arial"/>
      </w:rPr>
      <w:t>3</w:t>
    </w:r>
    <w:r>
      <w:rPr>
        <w:rFonts w:cs="Arial" w:ascii="Arial" w:hAnsi="Arial"/>
      </w:rPr>
      <w:t>.</w:t>
    </w:r>
    <w:r>
      <w:rPr>
        <w:rFonts w:cs="Arial" w:ascii="Arial" w:hAnsi="Arial"/>
      </w:rPr>
      <w:t xml:space="preserve">8                                       </w:t>
    </w:r>
    <w:r>
      <w:rPr>
        <w:rFonts w:cs="Arial" w:ascii="Arial" w:hAnsi="Arial"/>
      </w:rPr>
      <w:fldChar w:fldCharType="begin"/>
    </w:r>
    <w:r>
      <w:instrText> PAGE </w:instrText>
    </w:r>
    <w:r>
      <w:fldChar w:fldCharType="separate"/>
    </w:r>
    <w:r>
      <w:t>2</w:t>
    </w:r>
    <w:r>
      <w:fldChar w:fldCharType="end"/>
    </w:r>
  </w:p>
  <w:p>
    <w:pPr>
      <w:pStyle w:val="Footer"/>
      <w:rPr>
        <w:rFonts w:ascii="Arial" w:hAnsi="Arial" w:cs="Arial"/>
      </w:rPr>
    </w:pPr>
    <w:r>
      <w:rPr>
        <w:rFonts w:cs="Arial" w:ascii="Arial" w:hAnsi="Arial"/>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6" w:space="0" w:color="000000"/>
      </w:pBdr>
      <w:jc w:val="both"/>
      <w:rPr/>
    </w:pPr>
    <w:r>
      <w:rPr>
        <w:rFonts w:eastAsia="隶书" w:ascii="隶书" w:hAnsi="隶书"/>
        <w:sz w:val="21"/>
        <w:szCs w:val="21"/>
      </w:rPr>
      <w:t xml:space="preserve">7100 </w:t>
    </w:r>
    <w:r>
      <w:rPr>
        <w:rFonts w:ascii="隶书" w:hAnsi="隶书" w:eastAsia="隶书"/>
        <w:sz w:val="21"/>
        <w:szCs w:val="21"/>
      </w:rPr>
      <w:t xml:space="preserve">执行会计分录测试和其他与舞弊事项相关的审计程序   </w:t>
    </w:r>
    <w:r>
      <w:rPr>
        <w:rFonts w:ascii="Calibri" w:hAnsi="Calibri" w:cs="Calibri"/>
        <w:sz w:val="21"/>
        <w:szCs w:val="22"/>
        <w:lang w:val="en-US" w:eastAsia="en-US"/>
      </w:rPr>
      <w:drawing>
        <wp:inline distT="0" distB="0" distL="0" distR="0">
          <wp:extent cx="1378585" cy="237490"/>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1"/>
                  <a:stretch>
                    <a:fillRect/>
                  </a:stretch>
                </pic:blipFill>
                <pic:spPr bwMode="auto">
                  <a:xfrm>
                    <a:off x="0" y="0"/>
                    <a:ext cx="1378585" cy="237490"/>
                  </a:xfrm>
                  <a:prstGeom prst="rect">
                    <a:avLst/>
                  </a:prstGeom>
                </pic:spPr>
              </pic:pic>
            </a:graphicData>
          </a:graphic>
        </wp:inline>
      </w:drawing>
    </w:r>
    <w:r>
      <w:rPr>
        <w:rFonts w:ascii="隶书" w:hAnsi="隶书" w:eastAsia="隶书"/>
        <w:sz w:val="21"/>
        <w:szCs w:val="21"/>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0" w:hanging="0"/>
      </w:pPr>
      <w:rPr/>
    </w:lvl>
    <w:lvl w:ilvl="2">
      <w:start w:val="1"/>
      <w:pStyle w:val="Heading3"/>
      <w:numFmt w:val="none"/>
      <w:suff w:val="nothing"/>
      <w:lvlText w:val=""/>
      <w:lvlJc w:val="left"/>
      <w:pPr>
        <w:ind w:left="0" w:hanging="0"/>
      </w:pPr>
      <w:rPr/>
    </w:lvl>
    <w:lvl w:ilvl="3">
      <w:start w:val="1"/>
      <w:pStyle w:val="Heading4"/>
      <w:numFmt w:val="none"/>
      <w:suff w:val="nothing"/>
      <w:lvlText w:val=""/>
      <w:lvlJc w:val="left"/>
      <w:pPr>
        <w:ind w:left="0" w:hanging="0"/>
      </w:pPr>
      <w:rPr/>
    </w:lvl>
    <w:lvl w:ilvl="4">
      <w:start w:val="1"/>
      <w:pStyle w:val="Heading5"/>
      <w:numFmt w:val="none"/>
      <w:suff w:val="nothing"/>
      <w:lvlText w:val=""/>
      <w:lvlJc w:val="left"/>
      <w:pPr>
        <w:ind w:left="0" w:hanging="0"/>
      </w:pPr>
      <w:rPr/>
    </w:lvl>
    <w:lvl w:ilvl="5">
      <w:start w:val="1"/>
      <w:pStyle w:val="Heading6"/>
      <w:numFmt w:val="none"/>
      <w:suff w:val="nothing"/>
      <w:lvlText w:val=""/>
      <w:lvlJc w:val="left"/>
      <w:pPr>
        <w:ind w:left="0" w:hanging="0"/>
      </w:pPr>
      <w:rPr/>
    </w:lvl>
    <w:lvl w:ilvl="6">
      <w:start w:val="1"/>
      <w:pStyle w:val="Heading7"/>
      <w:numFmt w:val="none"/>
      <w:suff w:val="nothing"/>
      <w:lvlText w:val=""/>
      <w:lvlJc w:val="left"/>
      <w:pPr>
        <w:ind w:left="0" w:hanging="0"/>
      </w:pPr>
      <w:rPr/>
    </w:lvl>
    <w:lvl w:ilvl="7">
      <w:start w:val="1"/>
      <w:pStyle w:val="Heading8"/>
      <w:numFmt w:val="none"/>
      <w:suff w:val="nothing"/>
      <w:lvlText w:val=""/>
      <w:lvlJc w:val="left"/>
      <w:pPr>
        <w:ind w:left="0" w:hanging="0"/>
      </w:pPr>
      <w:rPr/>
    </w:lvl>
    <w:lvl w:ilvl="8">
      <w:start w:val="1"/>
      <w:pStyle w:val="Heading9"/>
      <w:numFmt w:val="none"/>
      <w:suff w:val="nothing"/>
      <w:lvlText w:val=""/>
      <w:lvlJc w:val="left"/>
      <w:pPr>
        <w:ind w:left="0" w:hanging="0"/>
      </w:pPr>
      <w:rPr/>
    </w:lvl>
  </w:abstractNum>
  <w:num w:numId="1">
    <w:abstractNumId w:val="1"/>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bidi w:val="0"/>
      <w:jc w:val="both"/>
    </w:pPr>
    <w:rPr>
      <w:rFonts w:ascii="Times New Roman" w:hAnsi="Times New Roman" w:eastAsia="宋体;SimSun" w:cs="Times New Roman"/>
      <w:color w:val="auto"/>
      <w:sz w:val="21"/>
      <w:szCs w:val="24"/>
      <w:lang w:val="en-US" w:eastAsia="zh-CN" w:bidi="ar-SA"/>
    </w:rPr>
  </w:style>
  <w:style w:type="paragraph" w:styleId="Heading1">
    <w:name w:val="Heading 1"/>
    <w:basedOn w:val="Normal"/>
    <w:next w:val="Normal"/>
    <w:qFormat/>
    <w:pPr>
      <w:keepNext/>
      <w:widowControl/>
      <w:overflowPunct w:val="false"/>
      <w:autoSpaceDE w:val="false"/>
      <w:spacing w:lineRule="exact" w:line="440" w:before="240" w:after="60"/>
      <w:textAlignment w:val="baseline"/>
      <w:outlineLvl w:val="0"/>
    </w:pPr>
    <w:rPr>
      <w:rFonts w:ascii="Arial" w:hAnsi="Arial" w:cs="Arial"/>
      <w:b/>
      <w:szCs w:val="21"/>
    </w:rPr>
  </w:style>
  <w:style w:type="paragraph" w:styleId="Heading2">
    <w:name w:val="Heading 2"/>
    <w:basedOn w:val="Normal"/>
    <w:next w:val="Normal"/>
    <w:qFormat/>
    <w:pPr>
      <w:keepNext/>
      <w:widowControl/>
      <w:numPr>
        <w:ilvl w:val="1"/>
        <w:numId w:val="1"/>
      </w:numPr>
      <w:overflowPunct w:val="false"/>
      <w:autoSpaceDE w:val="false"/>
      <w:spacing w:before="240" w:after="60"/>
      <w:textAlignment w:val="baseline"/>
      <w:outlineLvl w:val="1"/>
      <w:outlineLvl w:val="1"/>
    </w:pPr>
    <w:rPr>
      <w:b/>
      <w:sz w:val="24"/>
      <w:szCs w:val="20"/>
      <w:lang w:val="fr-FR"/>
    </w:rPr>
  </w:style>
  <w:style w:type="paragraph" w:styleId="Heading3">
    <w:name w:val="Heading 3"/>
    <w:basedOn w:val="Normal"/>
    <w:next w:val="Normal"/>
    <w:qFormat/>
    <w:pPr>
      <w:keepNext/>
      <w:widowControl/>
      <w:numPr>
        <w:ilvl w:val="2"/>
        <w:numId w:val="1"/>
      </w:numPr>
      <w:overflowPunct w:val="false"/>
      <w:autoSpaceDE w:val="false"/>
      <w:spacing w:before="240" w:after="60"/>
      <w:textAlignment w:val="baseline"/>
      <w:outlineLvl w:val="2"/>
      <w:outlineLvl w:val="2"/>
    </w:pPr>
    <w:rPr>
      <w:b/>
      <w:sz w:val="24"/>
      <w:szCs w:val="20"/>
      <w:lang w:val="fr-FR"/>
    </w:rPr>
  </w:style>
  <w:style w:type="paragraph" w:styleId="Heading4">
    <w:name w:val="Heading 4"/>
    <w:basedOn w:val="Heading3"/>
    <w:next w:val="Normal"/>
    <w:qFormat/>
    <w:pPr>
      <w:numPr>
        <w:ilvl w:val="3"/>
        <w:numId w:val="1"/>
      </w:numPr>
      <w:spacing w:lineRule="auto" w:line="360"/>
      <w:outlineLvl w:val="3"/>
      <w:outlineLvl w:val="3"/>
    </w:pPr>
    <w:rPr>
      <w:i/>
      <w:sz w:val="20"/>
    </w:rPr>
  </w:style>
  <w:style w:type="paragraph" w:styleId="Heading5">
    <w:name w:val="Heading 5"/>
    <w:basedOn w:val="Normal"/>
    <w:next w:val="Normal"/>
    <w:qFormat/>
    <w:pPr>
      <w:widowControl/>
      <w:numPr>
        <w:ilvl w:val="4"/>
        <w:numId w:val="1"/>
      </w:numPr>
      <w:overflowPunct w:val="false"/>
      <w:autoSpaceDE w:val="false"/>
      <w:spacing w:before="240" w:after="60"/>
      <w:textAlignment w:val="baseline"/>
      <w:outlineLvl w:val="4"/>
      <w:outlineLvl w:val="4"/>
    </w:pPr>
    <w:rPr>
      <w:rFonts w:ascii="Arial" w:hAnsi="Arial" w:cs="Arial"/>
      <w:sz w:val="22"/>
      <w:szCs w:val="20"/>
      <w:lang w:val="fr-FR"/>
    </w:rPr>
  </w:style>
  <w:style w:type="paragraph" w:styleId="Heading6">
    <w:name w:val="Heading 6"/>
    <w:basedOn w:val="Normal"/>
    <w:next w:val="Normal"/>
    <w:qFormat/>
    <w:pPr>
      <w:widowControl/>
      <w:numPr>
        <w:ilvl w:val="5"/>
        <w:numId w:val="1"/>
      </w:numPr>
      <w:overflowPunct w:val="false"/>
      <w:autoSpaceDE w:val="false"/>
      <w:spacing w:before="240" w:after="60"/>
      <w:textAlignment w:val="baseline"/>
      <w:outlineLvl w:val="5"/>
      <w:outlineLvl w:val="5"/>
    </w:pPr>
    <w:rPr>
      <w:i/>
      <w:sz w:val="22"/>
      <w:szCs w:val="20"/>
      <w:lang w:val="fr-FR"/>
    </w:rPr>
  </w:style>
  <w:style w:type="paragraph" w:styleId="Heading7">
    <w:name w:val="Heading 7"/>
    <w:basedOn w:val="Normal"/>
    <w:next w:val="Normal"/>
    <w:qFormat/>
    <w:pPr>
      <w:widowControl/>
      <w:numPr>
        <w:ilvl w:val="6"/>
        <w:numId w:val="1"/>
      </w:numPr>
      <w:overflowPunct w:val="false"/>
      <w:autoSpaceDE w:val="false"/>
      <w:spacing w:before="240" w:after="60"/>
      <w:textAlignment w:val="baseline"/>
      <w:outlineLvl w:val="6"/>
      <w:outlineLvl w:val="6"/>
    </w:pPr>
    <w:rPr>
      <w:rFonts w:ascii="Arial" w:hAnsi="Arial" w:cs="Arial"/>
      <w:sz w:val="20"/>
      <w:szCs w:val="20"/>
      <w:lang w:val="fr-FR"/>
    </w:rPr>
  </w:style>
  <w:style w:type="paragraph" w:styleId="Heading8">
    <w:name w:val="Heading 8"/>
    <w:basedOn w:val="Normal"/>
    <w:next w:val="Normal"/>
    <w:qFormat/>
    <w:pPr>
      <w:widowControl/>
      <w:numPr>
        <w:ilvl w:val="7"/>
        <w:numId w:val="1"/>
      </w:numPr>
      <w:overflowPunct w:val="false"/>
      <w:autoSpaceDE w:val="false"/>
      <w:spacing w:before="240" w:after="60"/>
      <w:textAlignment w:val="baseline"/>
      <w:outlineLvl w:val="7"/>
      <w:outlineLvl w:val="7"/>
    </w:pPr>
    <w:rPr>
      <w:rFonts w:ascii="Arial" w:hAnsi="Arial" w:cs="Arial"/>
      <w:i/>
      <w:sz w:val="20"/>
      <w:szCs w:val="20"/>
      <w:lang w:val="fr-FR"/>
    </w:rPr>
  </w:style>
  <w:style w:type="paragraph" w:styleId="Heading9">
    <w:name w:val="Heading 9"/>
    <w:basedOn w:val="Normal"/>
    <w:next w:val="Normal"/>
    <w:qFormat/>
    <w:pPr>
      <w:widowControl/>
      <w:numPr>
        <w:ilvl w:val="8"/>
        <w:numId w:val="1"/>
      </w:numPr>
      <w:overflowPunct w:val="false"/>
      <w:autoSpaceDE w:val="false"/>
      <w:spacing w:before="240" w:after="60"/>
      <w:textAlignment w:val="baseline"/>
      <w:outlineLvl w:val="8"/>
      <w:outlineLvl w:val="8"/>
    </w:pPr>
    <w:rPr>
      <w:rFonts w:ascii="Arial" w:hAnsi="Arial" w:cs="Arial"/>
      <w:b/>
      <w:i/>
      <w:sz w:val="18"/>
      <w:szCs w:val="20"/>
      <w:lang w:val="fr-FR"/>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cs="Times New Roman"/>
    </w:rPr>
  </w:style>
  <w:style w:type="character" w:styleId="WW8Num7z1">
    <w:name w:val="WW8Num7z1"/>
    <w:qFormat/>
    <w:rPr>
      <w:rFonts w:cs="Times New Roman"/>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Style5">
    <w:name w:val="默认段落字体"/>
    <w:qFormat/>
    <w:rPr/>
  </w:style>
  <w:style w:type="character" w:styleId="1Char">
    <w:name w:val="标题 1 Char"/>
    <w:qFormat/>
    <w:rPr>
      <w:rFonts w:ascii="Arial" w:hAnsi="Arial" w:cs="Arial"/>
      <w:b/>
      <w:sz w:val="21"/>
      <w:szCs w:val="21"/>
    </w:rPr>
  </w:style>
  <w:style w:type="character" w:styleId="2Char">
    <w:name w:val="标题 2 Char"/>
    <w:qFormat/>
    <w:rPr>
      <w:b/>
      <w:sz w:val="24"/>
      <w:lang w:val="fr-FR"/>
    </w:rPr>
  </w:style>
  <w:style w:type="character" w:styleId="3Char">
    <w:name w:val="标题 3 Char"/>
    <w:qFormat/>
    <w:rPr>
      <w:b/>
      <w:sz w:val="24"/>
      <w:lang w:val="fr-FR"/>
    </w:rPr>
  </w:style>
  <w:style w:type="character" w:styleId="4Char">
    <w:name w:val="标题 4 Char"/>
    <w:qFormat/>
    <w:rPr>
      <w:b/>
      <w:i/>
      <w:lang w:val="fr-FR"/>
    </w:rPr>
  </w:style>
  <w:style w:type="character" w:styleId="5Char">
    <w:name w:val="标题 5 Char"/>
    <w:qFormat/>
    <w:rPr>
      <w:rFonts w:ascii="Arial" w:hAnsi="Arial" w:cs="Arial"/>
      <w:sz w:val="22"/>
      <w:lang w:val="fr-FR"/>
    </w:rPr>
  </w:style>
  <w:style w:type="character" w:styleId="6Char">
    <w:name w:val="标题 6 Char"/>
    <w:qFormat/>
    <w:rPr>
      <w:i/>
      <w:sz w:val="22"/>
      <w:lang w:val="fr-FR"/>
    </w:rPr>
  </w:style>
  <w:style w:type="character" w:styleId="7Char">
    <w:name w:val="标题 7 Char"/>
    <w:qFormat/>
    <w:rPr>
      <w:rFonts w:ascii="Arial" w:hAnsi="Arial" w:cs="Arial"/>
      <w:lang w:val="fr-FR"/>
    </w:rPr>
  </w:style>
  <w:style w:type="character" w:styleId="8Char">
    <w:name w:val="标题 8 Char"/>
    <w:qFormat/>
    <w:rPr>
      <w:rFonts w:ascii="Arial" w:hAnsi="Arial" w:cs="Arial"/>
      <w:i/>
      <w:lang w:val="fr-FR"/>
    </w:rPr>
  </w:style>
  <w:style w:type="character" w:styleId="9Char">
    <w:name w:val="标题 9 Char"/>
    <w:qFormat/>
    <w:rPr>
      <w:rFonts w:ascii="Arial" w:hAnsi="Arial" w:cs="Arial"/>
      <w:b/>
      <w:i/>
      <w:sz w:val="18"/>
      <w:lang w:val="fr-FR"/>
    </w:rPr>
  </w:style>
  <w:style w:type="character" w:styleId="Char">
    <w:name w:val="文档结构图 Char"/>
    <w:qFormat/>
    <w:rPr>
      <w:rFonts w:ascii="宋体;SimSun" w:hAnsi="宋体;SimSun"/>
      <w:sz w:val="18"/>
      <w:szCs w:val="18"/>
    </w:rPr>
  </w:style>
  <w:style w:type="character" w:styleId="Char1">
    <w:name w:val="脚注文本 Char"/>
    <w:qFormat/>
    <w:rPr>
      <w:rFonts w:eastAsia="MS Mincho;ＭＳ 明朝"/>
      <w:lang w:val="fr-FR"/>
    </w:rPr>
  </w:style>
  <w:style w:type="character" w:styleId="FootnoteCharacters">
    <w:name w:val="Footnote Characters"/>
    <w:qFormat/>
    <w:rPr>
      <w:rFonts w:ascii="Times New Roman" w:hAnsi="Times New Roman" w:cs="Times New Roman"/>
      <w:position w:val="6"/>
      <w:sz w:val="16"/>
    </w:rPr>
  </w:style>
  <w:style w:type="character" w:styleId="Char2">
    <w:name w:val="页眉 Char"/>
    <w:qFormat/>
    <w:rPr>
      <w:sz w:val="18"/>
      <w:szCs w:val="18"/>
    </w:rPr>
  </w:style>
  <w:style w:type="character" w:styleId="Char3">
    <w:name w:val="页脚 Char"/>
    <w:qFormat/>
    <w:rPr>
      <w:sz w:val="18"/>
      <w:szCs w:val="18"/>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Style6">
    <w:name w:val="批注框文本"/>
    <w:basedOn w:val="Normal"/>
    <w:qFormat/>
    <w:pPr/>
    <w:rPr>
      <w:sz w:val="18"/>
      <w:szCs w:val="18"/>
    </w:rPr>
  </w:style>
  <w:style w:type="paragraph" w:styleId="Header">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Style7">
    <w:name w:val="纯文本"/>
    <w:basedOn w:val="Normal"/>
    <w:qFormat/>
    <w:pPr/>
    <w:rPr>
      <w:rFonts w:ascii="宋体;SimSun" w:hAnsi="宋体;SimSun" w:cs="Courier New"/>
      <w:szCs w:val="21"/>
    </w:rPr>
  </w:style>
  <w:style w:type="paragraph" w:styleId="SubHeading">
    <w:name w:val="Sub Heading"/>
    <w:basedOn w:val="Normal"/>
    <w:qFormat/>
    <w:pPr>
      <w:keepNext/>
      <w:widowControl/>
      <w:overflowPunct w:val="false"/>
      <w:autoSpaceDE w:val="false"/>
      <w:textAlignment w:val="baseline"/>
    </w:pPr>
    <w:rPr>
      <w:i/>
      <w:sz w:val="24"/>
      <w:szCs w:val="20"/>
      <w:lang w:val="fr-FR"/>
    </w:rPr>
  </w:style>
  <w:style w:type="paragraph" w:styleId="Ps000normal">
    <w:name w:val="ps-000-normal"/>
    <w:basedOn w:val="Normal"/>
    <w:qFormat/>
    <w:pPr>
      <w:widowControl/>
      <w:spacing w:before="100" w:after="100"/>
      <w:jc w:val="left"/>
    </w:pPr>
    <w:rPr>
      <w:rFonts w:ascii="Verdana" w:hAnsi="Verdana" w:cs="Verdana"/>
      <w:color w:val="000000"/>
      <w:sz w:val="20"/>
      <w:szCs w:val="20"/>
    </w:rPr>
  </w:style>
  <w:style w:type="paragraph" w:styleId="Body">
    <w:name w:val="body"/>
    <w:qFormat/>
    <w:pPr>
      <w:widowControl/>
      <w:spacing w:before="0" w:after="200"/>
    </w:pPr>
    <w:rPr>
      <w:rFonts w:ascii="Times New Roman" w:hAnsi="Times New Roman" w:eastAsia="宋体;SimSun" w:cs="Times New Roman"/>
      <w:color w:val="auto"/>
      <w:sz w:val="22"/>
      <w:szCs w:val="22"/>
      <w:lang w:val="en-US" w:bidi="ar-SA" w:eastAsia="zh-CN"/>
    </w:rPr>
  </w:style>
  <w:style w:type="paragraph" w:styleId="Style8">
    <w:name w:val="文档结构图"/>
    <w:basedOn w:val="Normal"/>
    <w:qFormat/>
    <w:pPr/>
    <w:rPr>
      <w:rFonts w:ascii="宋体;SimSun" w:hAnsi="宋体;SimSun"/>
      <w:sz w:val="18"/>
      <w:szCs w:val="18"/>
    </w:rPr>
  </w:style>
  <w:style w:type="paragraph" w:styleId="Footnote">
    <w:name w:val="Footnote Text"/>
    <w:basedOn w:val="Normal"/>
    <w:next w:val="Normal"/>
    <w:pPr>
      <w:widowControl/>
      <w:overflowPunct w:val="false"/>
      <w:autoSpaceDE w:val="false"/>
      <w:ind w:left="397" w:hanging="397"/>
      <w:textAlignment w:val="baseline"/>
    </w:pPr>
    <w:rPr>
      <w:rFonts w:eastAsia="MS Mincho;ＭＳ 明朝"/>
      <w:sz w:val="20"/>
      <w:szCs w:val="20"/>
      <w:lang w:val="fr-F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Template>
  <TotalTime>348</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2012-03-13T07:33:00Z</dcterms:created>
  <dc:creator>IBM</dc:creator>
  <dc:description/>
  <dc:language>en-US</dc:language>
  <cp:lastModifiedBy>china</cp:lastModifiedBy>
  <dcterms:modified xsi:type="dcterms:W3CDTF">2014-01-10T02:43:00Z</dcterms:modified>
  <cp:revision>50</cp:revision>
  <dc:subject/>
  <dc:title>预备会议纪要</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2052-6.6.0.2855</vt:lpwstr>
  </property>
</Properties>
</file>