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wmf" ContentType="image/x-wmf"/>
  <Override PartName="/word/header1.xml" ContentType="application/vnd.openxmlformats-officedocument.wordprocessingml.header+xml"/>
  <Override PartName="/word/embeddings/oleObjec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pBdr/>
        <w:jc w:val="right"/>
        <w:rPr>
          <w:rFonts w:ascii="Arial" w:hAnsi="Arial" w:cs="Arial"/>
          <w:sz w:val="21"/>
          <w:szCs w:val="21"/>
        </w:rPr>
      </w:pPr>
      <w:r>
        <w:rPr>
          <w:rFonts w:ascii="Arial" w:hAnsi="Arial" w:cs="Arial"/>
          <w:sz w:val="21"/>
          <w:szCs w:val="21"/>
        </w:rPr>
        <w:t>索引号：</w:t>
      </w:r>
      <w:r>
        <w:rPr>
          <w:rFonts w:ascii="Arial" w:hAnsi="Arial" w:cs="Arial" w:eastAsia="Arial"/>
          <w:sz w:val="21"/>
          <w:szCs w:val="21"/>
        </w:rPr>
        <w:t xml:space="preserve">    </w:t>
      </w:r>
    </w:p>
    <w:p>
      <w:pPr>
        <w:pStyle w:val="Style15"/>
        <w:spacing w:lineRule="auto" w:line="360"/>
        <w:jc w:val="center"/>
        <w:rPr>
          <w:rFonts w:ascii="Arial" w:hAnsi="Arial" w:cs="Arial"/>
          <w:b/>
          <w:b/>
          <w:sz w:val="24"/>
          <w:szCs w:val="24"/>
        </w:rPr>
      </w:pPr>
      <w:r>
        <w:rPr>
          <w:rFonts w:ascii="Arial" w:hAnsi="Arial" w:cs="Arial"/>
          <w:b/>
          <w:sz w:val="24"/>
          <w:szCs w:val="24"/>
        </w:rPr>
        <w:t>注册会计师与管理层的沟通函</w:t>
      </w:r>
    </w:p>
    <w:p>
      <w:pPr>
        <w:pStyle w:val="Style15"/>
        <w:spacing w:lineRule="auto" w:line="360"/>
        <w:rPr>
          <w:rFonts w:ascii="Arial" w:hAnsi="Arial" w:cs="Arial"/>
          <w:b/>
          <w:b/>
          <w:sz w:val="24"/>
          <w:szCs w:val="24"/>
        </w:rPr>
      </w:pPr>
      <w:r>
        <w:rPr>
          <w:rFonts w:cs="Arial" w:ascii="Arial" w:hAnsi="Arial"/>
          <w:b/>
          <w:sz w:val="24"/>
          <w:szCs w:val="24"/>
        </w:rPr>
      </w:r>
    </w:p>
    <w:p>
      <w:pPr>
        <w:pStyle w:val="Style15"/>
        <w:spacing w:lineRule="exact" w:line="440"/>
        <w:rPr>
          <w:rFonts w:cs="Arial"/>
          <w:b/>
          <w:b/>
        </w:rPr>
      </w:pPr>
      <w:r>
        <w:rPr>
          <w:rFonts w:cs="Arial"/>
          <w:b/>
        </w:rPr>
        <w:t>XXX</w:t>
      </w:r>
      <w:r>
        <w:rPr>
          <w:rFonts w:cs="Arial"/>
          <w:b/>
        </w:rPr>
        <w:t>总经理（副经理、财务总监、总会计师）：</w:t>
      </w:r>
    </w:p>
    <w:p>
      <w:pPr>
        <w:pStyle w:val="Style15"/>
        <w:spacing w:lineRule="exact" w:line="440"/>
        <w:rPr>
          <w:rFonts w:cs="Arial"/>
          <w:b/>
          <w:b/>
        </w:rPr>
      </w:pPr>
      <w:r>
        <w:rPr>
          <w:rFonts w:cs="Arial"/>
          <w:b/>
        </w:rPr>
      </w:r>
    </w:p>
    <w:p>
      <w:pPr>
        <w:pStyle w:val="Style15"/>
        <w:spacing w:lineRule="exact" w:line="440"/>
        <w:ind w:firstLine="420"/>
        <w:rPr>
          <w:rFonts w:cs="Arial"/>
        </w:rPr>
      </w:pPr>
      <w:r>
        <w:rPr>
          <w:rFonts w:cs="Arial"/>
        </w:rPr>
        <w:t>我们接受委托，对</w:t>
      </w:r>
      <w:r>
        <w:rPr>
          <w:rFonts w:cs="Arial"/>
        </w:rPr>
        <w:t>ABC</w:t>
      </w:r>
      <w:r>
        <w:rPr>
          <w:rFonts w:cs="Arial"/>
          <w:bCs/>
        </w:rPr>
        <w:t>公司（以下简称“贵</w:t>
      </w:r>
      <w:r>
        <w:rPr>
          <w:rFonts w:cs="Arial"/>
        </w:rPr>
        <w:t>公司”）</w:t>
      </w:r>
      <w:r>
        <w:rPr>
          <w:rFonts w:cs="Arial"/>
        </w:rPr>
        <w:t>××</w:t>
      </w:r>
      <w:r>
        <w:rPr>
          <w:rFonts w:cs="Arial"/>
        </w:rPr>
        <w:t>年度的财务报表进行审计。贵管理层责任是编制和公允列报财务报表，这种责任包括：</w:t>
      </w:r>
      <w:r>
        <w:rPr>
          <w:rFonts w:cs="Arial"/>
        </w:rPr>
        <w:t>（</w:t>
      </w:r>
      <w:r>
        <w:rPr>
          <w:rFonts w:cs="Arial"/>
        </w:rPr>
        <w:t>1</w:t>
      </w:r>
      <w:r>
        <w:rPr>
          <w:rFonts w:cs="Arial"/>
        </w:rPr>
        <w:t>）负责按照</w:t>
      </w:r>
      <w:r>
        <w:rPr>
          <w:rFonts w:cs="Arial"/>
          <w:color w:val="FF0000"/>
        </w:rPr>
        <w:t>××</w:t>
      </w:r>
      <w:r>
        <w:rPr>
          <w:rFonts w:cs="Arial"/>
        </w:rPr>
        <w:t>财务报告编制基础的规定编制财务报表，使其实现公允反映，并设计、执行和维护必要的内部控制，以使财务报表不存在由于舞弊或错误导致的重大错报。</w:t>
      </w:r>
      <w:r>
        <w:rPr>
          <w:rFonts w:cs="Arial"/>
        </w:rPr>
        <w:t>（</w:t>
      </w:r>
      <w:r>
        <w:rPr>
          <w:rFonts w:cs="Arial"/>
        </w:rPr>
        <w:t>2</w:t>
      </w:r>
      <w:r>
        <w:rPr>
          <w:rFonts w:cs="Arial"/>
        </w:rPr>
        <w:t>）负责评估贵公司的持续经营能力，披露与持续经营相关的事项（如适用），并运用持续经营假设，除非管理层计划清算贵公司、终止运营或别无其他现实的选择。</w:t>
      </w:r>
    </w:p>
    <w:p>
      <w:pPr>
        <w:pStyle w:val="Style15"/>
        <w:spacing w:lineRule="exact" w:line="440"/>
        <w:ind w:firstLine="420"/>
        <w:rPr/>
      </w:pPr>
      <w:r>
        <w:rPr>
          <w:rFonts w:cs="Arial"/>
        </w:rPr>
        <w:t>我们的责任是</w:t>
      </w:r>
      <w:r>
        <w:rPr>
          <w:rFonts w:cs="Arial"/>
        </w:rPr>
        <w:t>贵公司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合并财务报表作出的经济决策，则通常认为错报是重大的。</w:t>
      </w:r>
    </w:p>
    <w:p>
      <w:pPr>
        <w:pStyle w:val="Style15"/>
        <w:spacing w:lineRule="exact" w:line="440"/>
        <w:ind w:firstLine="420"/>
        <w:rPr>
          <w:rFonts w:cs="Arial"/>
        </w:rPr>
      </w:pPr>
      <w:r>
        <w:rPr>
          <w:rFonts w:cs="Arial"/>
        </w:rPr>
        <w:t>在按照审计准则执行审计工作的过程中，我们运用职业判断，并保持职业怀疑。同时，我们也执行以下工作：</w:t>
      </w:r>
    </w:p>
    <w:p>
      <w:pPr>
        <w:pStyle w:val="Style15"/>
        <w:spacing w:lineRule="exact" w:line="440"/>
        <w:ind w:firstLine="420"/>
        <w:rPr>
          <w:rFonts w:cs="Arial"/>
        </w:rPr>
      </w:pPr>
      <w:r>
        <w:rPr>
          <w:rFonts w:cs="Arial"/>
        </w:rPr>
        <w:t>（</w:t>
      </w:r>
      <w:r>
        <w:rPr>
          <w:rFonts w:cs="Arial"/>
        </w:rPr>
        <w:t>1</w:t>
      </w:r>
      <w:r>
        <w:rPr>
          <w:rFonts w:cs="Arial"/>
        </w:rPr>
        <w:t>）识别和评估由于舞弊或错误导致的合并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pPr>
        <w:pStyle w:val="Style15"/>
        <w:spacing w:lineRule="exact" w:line="440"/>
        <w:ind w:firstLine="420"/>
        <w:rPr/>
      </w:pPr>
      <w:r>
        <w:rPr>
          <w:rFonts w:cs="Arial"/>
        </w:rPr>
        <w:t>（</w:t>
      </w:r>
      <w:r>
        <w:rPr>
          <w:rFonts w:cs="Arial"/>
        </w:rPr>
        <w:t>2</w:t>
      </w:r>
      <w:r>
        <w:rPr>
          <w:rFonts w:cs="Arial"/>
        </w:rPr>
        <w:t>）了解与审计相关的内部控制，以设计恰当的审计程序，但目的并非对内部控制的有效性发表意见。</w:t>
      </w:r>
      <w:r>
        <w:rPr>
          <w:rFonts w:cs="Arial"/>
          <w:color w:val="0000FF"/>
        </w:rPr>
        <w:t>【如果注册会计师结合财务报表审计对内部控制的有效性发表意见，应当删除“但目的并非对内部控制的有效性发表意见”的措辞。】</w:t>
      </w:r>
    </w:p>
    <w:p>
      <w:pPr>
        <w:pStyle w:val="Style15"/>
        <w:spacing w:lineRule="exact" w:line="440"/>
        <w:ind w:firstLine="420"/>
        <w:rPr>
          <w:rFonts w:cs="Arial"/>
        </w:rPr>
      </w:pPr>
      <w:r>
        <w:rPr>
          <w:rFonts w:cs="Arial"/>
        </w:rPr>
        <w:t>（</w:t>
      </w:r>
      <w:r>
        <w:rPr>
          <w:rFonts w:cs="Arial"/>
        </w:rPr>
        <w:t>3</w:t>
      </w:r>
      <w:r>
        <w:rPr>
          <w:rFonts w:cs="Arial"/>
        </w:rPr>
        <w:t>）评价管理层选用会计政策的恰当性和作出会计估计及相关披露的合理性。</w:t>
      </w:r>
    </w:p>
    <w:p>
      <w:pPr>
        <w:pStyle w:val="Style15"/>
        <w:spacing w:lineRule="exact" w:line="440"/>
        <w:ind w:firstLine="420"/>
        <w:rPr/>
      </w:pPr>
      <w:r>
        <w:rPr>
          <w:rFonts w:cs="Arial"/>
        </w:rPr>
        <w:t>（</w:t>
      </w:r>
      <w:r>
        <w:rPr>
          <w:rFonts w:cs="Arial"/>
        </w:rPr>
        <w:t>4</w:t>
      </w:r>
      <w:r>
        <w:rPr>
          <w:rFonts w:cs="Arial"/>
        </w:rPr>
        <w:t>）对管理层使用持续经营假设的恰当性得出结论。同时，根据获取的审计证据，就可能导致对贵公司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贵公司不能持续经营。</w:t>
      </w:r>
    </w:p>
    <w:p>
      <w:pPr>
        <w:pStyle w:val="Style15"/>
        <w:spacing w:lineRule="exact" w:line="440"/>
        <w:ind w:firstLine="420"/>
        <w:rPr/>
      </w:pPr>
      <w:r>
        <w:rPr>
          <w:rFonts w:cs="Arial"/>
        </w:rPr>
        <w:t>（</w:t>
      </w:r>
      <w:r>
        <w:rPr>
          <w:rFonts w:cs="Arial"/>
        </w:rPr>
        <w:t>5</w:t>
      </w:r>
      <w:r>
        <w:rPr>
          <w:rFonts w:cs="Arial"/>
        </w:rPr>
        <w:t>）评价财务报表的总体列报、结构和内容（包括披露），并评价财务报表是否公允反映相关交易和事项。</w:t>
      </w:r>
    </w:p>
    <w:p>
      <w:pPr>
        <w:pStyle w:val="Style15"/>
        <w:spacing w:lineRule="exact" w:line="440"/>
        <w:ind w:firstLine="420"/>
        <w:rPr/>
      </w:pPr>
      <w:r>
        <w:rPr>
          <w:rFonts w:cs="Arial"/>
        </w:rPr>
        <w:t>【</w:t>
      </w:r>
      <w:r>
        <w:rPr>
          <w:rFonts w:cs="Arial"/>
          <w:color w:val="FF0000"/>
        </w:rPr>
        <w:t>（</w:t>
      </w:r>
      <w:r>
        <w:rPr>
          <w:rFonts w:cs="Arial"/>
          <w:color w:val="FF0000"/>
        </w:rPr>
        <w:t>6</w:t>
      </w:r>
      <w:r>
        <w:rPr>
          <w:rFonts w:cs="Arial"/>
          <w:color w:val="FF0000"/>
        </w:rPr>
        <w:t>）就贵公司合并报表内各实体的财务信息获取充分、适当的审计证据，以对合并财务报表发表审计意见。我们负责指导、监督和执行集团审计，并对审计意见承担全部责任。</w:t>
      </w:r>
      <w:r>
        <w:rPr>
          <w:rFonts w:cs="Arial"/>
          <w:color w:val="0000FF"/>
        </w:rPr>
        <w:t>（集团审计适用，相应的所有“财务报表”前添加“合并”，否则删除此条）】</w:t>
      </w:r>
    </w:p>
    <w:p>
      <w:pPr>
        <w:pStyle w:val="Style15"/>
        <w:spacing w:lineRule="exact" w:line="440"/>
        <w:ind w:firstLine="420"/>
        <w:rPr/>
      </w:pPr>
      <w:r>
        <w:rPr>
          <w:rFonts w:cs="Arial"/>
        </w:rPr>
        <w:t>（</w:t>
      </w:r>
      <w:r>
        <w:rPr>
          <w:rFonts w:cs="Arial"/>
        </w:rPr>
        <w:t>7</w:t>
      </w:r>
      <w:r>
        <w:rPr>
          <w:rFonts w:cs="Arial"/>
        </w:rPr>
        <w:t>）我们与治理层就计划的审计范围、时间安排和重大审计发现等事项进行沟通，包括沟通我们在审计中识别出的值得关注的内部控制缺陷。</w:t>
      </w:r>
    </w:p>
    <w:p>
      <w:pPr>
        <w:pStyle w:val="Style15"/>
        <w:spacing w:lineRule="exact" w:line="440"/>
        <w:ind w:firstLine="420"/>
        <w:rPr/>
      </w:pPr>
      <w:r>
        <w:rPr>
          <w:rFonts w:cs="Arial"/>
          <w:color w:val="0000FF"/>
        </w:rPr>
        <w:t>【</w:t>
      </w:r>
      <w:r>
        <w:rPr>
          <w:rFonts w:cs="Arial"/>
          <w:color w:val="0000FF"/>
        </w:rPr>
        <w:t>对于需要同时单独出具内部控制审计报告的整合审计项目，沟通函中应包括有关内控审计方面的内容。上段内容变更为：</w:t>
      </w:r>
    </w:p>
    <w:p>
      <w:pPr>
        <w:pStyle w:val="Style15"/>
        <w:spacing w:lineRule="exact" w:line="440"/>
        <w:ind w:firstLine="420"/>
        <w:rPr/>
      </w:pPr>
      <w:r>
        <w:rPr>
          <w:rFonts w:cs="Arial"/>
          <w:color w:val="FF0000"/>
        </w:rPr>
        <w:t>我们接受委托，对</w:t>
      </w:r>
      <w:r>
        <w:rPr>
          <w:rFonts w:cs="Arial"/>
          <w:color w:val="FF0000"/>
        </w:rPr>
        <w:t>ABC</w:t>
      </w:r>
      <w:r>
        <w:rPr>
          <w:rFonts w:cs="Arial"/>
          <w:bCs/>
          <w:color w:val="FF0000"/>
        </w:rPr>
        <w:t>公司（以下简称“贵</w:t>
      </w:r>
      <w:r>
        <w:rPr>
          <w:rFonts w:cs="Arial"/>
          <w:color w:val="FF0000"/>
        </w:rPr>
        <w:t>公司”）</w:t>
      </w:r>
      <w:r>
        <w:rPr>
          <w:rFonts w:cs="Arial"/>
          <w:color w:val="FF0000"/>
        </w:rPr>
        <w:t>××</w:t>
      </w:r>
      <w:r>
        <w:rPr>
          <w:rFonts w:cs="Arial"/>
          <w:color w:val="FF0000"/>
        </w:rPr>
        <w:t>年度的财务报表和贵公司</w:t>
      </w:r>
      <w:r>
        <w:rPr>
          <w:rFonts w:cs="Arial"/>
          <w:color w:val="FF0000"/>
        </w:rPr>
        <w:t>XX</w:t>
      </w:r>
      <w:r>
        <w:rPr>
          <w:rFonts w:cs="Arial"/>
          <w:color w:val="FF0000"/>
        </w:rPr>
        <w:t>年</w:t>
      </w:r>
      <w:r>
        <w:rPr>
          <w:rFonts w:cs="Arial"/>
          <w:color w:val="FF0000"/>
        </w:rPr>
        <w:t>12</w:t>
      </w:r>
      <w:r>
        <w:rPr>
          <w:rFonts w:cs="Arial"/>
          <w:color w:val="FF0000"/>
        </w:rPr>
        <w:t>月</w:t>
      </w:r>
      <w:r>
        <w:rPr>
          <w:rFonts w:cs="Arial"/>
          <w:color w:val="FF0000"/>
        </w:rPr>
        <w:t>31</w:t>
      </w:r>
      <w:r>
        <w:rPr>
          <w:rFonts w:cs="Arial"/>
          <w:color w:val="FF0000"/>
        </w:rPr>
        <w:t>日的财务报告内部控制的有效性进行审计。贵管理层责任是编制和公允列报财务报表，这种责任包括：（</w:t>
      </w:r>
      <w:r>
        <w:rPr>
          <w:rFonts w:cs="Arial"/>
          <w:color w:val="FF0000"/>
        </w:rPr>
        <w:t>1</w:t>
      </w:r>
      <w:r>
        <w:rPr>
          <w:rFonts w:cs="Arial"/>
          <w:color w:val="FF0000"/>
        </w:rPr>
        <w:t>）</w:t>
      </w:r>
      <w:r>
        <w:rPr>
          <w:rFonts w:cs="Arial"/>
          <w:color w:val="FF0000"/>
        </w:rPr>
        <w:t>负责按照</w:t>
      </w:r>
      <w:r>
        <w:rPr>
          <w:rFonts w:cs="Arial"/>
          <w:color w:val="FF0000"/>
        </w:rPr>
        <w:t>××</w:t>
      </w:r>
      <w:r>
        <w:rPr>
          <w:rFonts w:cs="Arial"/>
          <w:color w:val="FF0000"/>
        </w:rPr>
        <w:t>财务报告编制基础的规定编制合并财务报表，使其实现公允反映，并设计、执行和维护必要的内部控制，以使合并财务报表不存在由于舞弊或错误导致的重大错报。</w:t>
      </w:r>
      <w:r>
        <w:rPr>
          <w:rFonts w:cs="Arial"/>
          <w:color w:val="FF0000"/>
        </w:rPr>
        <w:t>（</w:t>
      </w:r>
      <w:r>
        <w:rPr>
          <w:rFonts w:cs="Arial"/>
          <w:color w:val="FF0000"/>
        </w:rPr>
        <w:t>2</w:t>
      </w:r>
      <w:r>
        <w:rPr>
          <w:rFonts w:cs="Arial"/>
          <w:color w:val="FF0000"/>
        </w:rPr>
        <w:t>）</w:t>
      </w:r>
      <w:r>
        <w:rPr>
          <w:rFonts w:cs="Arial"/>
          <w:color w:val="FF0000"/>
        </w:rPr>
        <w:t>贵公司的责任还包括按照《企业内部控制基本规范》、《企业内部控制应用指引》、《企业内部控制评价指引》的规定，建立健全和有效实施内部控制，并评价其有效性。</w:t>
      </w:r>
    </w:p>
    <w:p>
      <w:pPr>
        <w:pStyle w:val="Style15"/>
        <w:spacing w:lineRule="exact" w:line="440"/>
        <w:ind w:firstLine="420"/>
        <w:rPr>
          <w:rFonts w:cs="Arial"/>
          <w:color w:val="0000FF"/>
        </w:rPr>
      </w:pPr>
      <w:r>
        <w:rPr>
          <w:rFonts w:cs="Arial"/>
          <w:color w:val="FF0000"/>
        </w:rPr>
        <w:t>我们的责任是按照《中国注册会计师审计准则》和</w:t>
      </w:r>
      <w:r>
        <w:rPr>
          <w:rFonts w:cs="Arial"/>
          <w:color w:val="FF0000"/>
        </w:rPr>
        <w:t>《企业内部控制审计指引》</w:t>
      </w:r>
      <w:r>
        <w:rPr>
          <w:rFonts w:cs="Arial"/>
          <w:color w:val="FF0000"/>
        </w:rPr>
        <w:t>的规定执行审计程序，在实施审计工作的基础上对贵</w:t>
      </w:r>
      <w:r>
        <w:rPr>
          <w:rFonts w:cs="Arial"/>
          <w:color w:val="FF0000"/>
        </w:rPr>
        <w:t>管理层在董事会的监督下编制的财务报表和财务报告内部控制的有效性</w:t>
      </w:r>
      <w:r>
        <w:rPr>
          <w:rFonts w:cs="Arial"/>
          <w:color w:val="FF0000"/>
        </w:rPr>
        <w:t>发表审计意见。其中</w:t>
      </w:r>
      <w:r>
        <w:rPr>
          <w:rFonts w:cs="Arial"/>
          <w:color w:val="FF0000"/>
        </w:rPr>
        <w:t>,</w:t>
      </w:r>
      <w:r>
        <w:rPr>
          <w:rFonts w:cs="Arial"/>
          <w:color w:val="FF0000"/>
        </w:rPr>
        <w:t>为了对财务报告内部控制发表审计意见之目的，我们设计审计程序，评价财务报告内部控制的有效性，以便对贵公司</w:t>
      </w:r>
      <w:r>
        <w:rPr>
          <w:rFonts w:cs="Arial"/>
          <w:color w:val="FF0000"/>
        </w:rPr>
        <w:t>20×1</w:t>
      </w:r>
      <w:r>
        <w:rPr>
          <w:rFonts w:cs="Arial"/>
          <w:color w:val="FF0000"/>
        </w:rPr>
        <w:t>年</w:t>
      </w:r>
      <w:r>
        <w:rPr>
          <w:rFonts w:cs="Arial"/>
          <w:color w:val="FF0000"/>
        </w:rPr>
        <w:t>12</w:t>
      </w:r>
      <w:r>
        <w:rPr>
          <w:rFonts w:cs="Arial"/>
          <w:color w:val="FF0000"/>
        </w:rPr>
        <w:t>月</w:t>
      </w:r>
      <w:r>
        <w:rPr>
          <w:rFonts w:cs="Arial"/>
          <w:color w:val="FF0000"/>
        </w:rPr>
        <w:t>31</w:t>
      </w:r>
      <w:r>
        <w:rPr>
          <w:rFonts w:cs="Arial"/>
          <w:color w:val="FF0000"/>
        </w:rPr>
        <w:t>日的财务报告内部控制是否存在重大缺陷获取合理保证。在审计过程中，我们可能发现单独或汇总起来严重程度低于重大缺陷的缺陷。</w:t>
      </w:r>
      <w:r>
        <w:rPr>
          <w:rFonts w:cs="Arial"/>
          <w:color w:val="0000FF"/>
        </w:rPr>
        <w:t>】</w:t>
      </w:r>
    </w:p>
    <w:p>
      <w:pPr>
        <w:pStyle w:val="Style15"/>
        <w:spacing w:lineRule="exact" w:line="440"/>
        <w:ind w:firstLine="420"/>
        <w:rPr/>
      </w:pPr>
      <w:r>
        <w:rPr>
          <w:rFonts w:cs="Arial"/>
          <w:color w:val="FF0000"/>
        </w:rPr>
        <w:t>【（</w:t>
      </w:r>
      <w:r>
        <w:rPr>
          <w:rFonts w:cs="Arial"/>
          <w:color w:val="FF0000"/>
        </w:rPr>
        <w:t>8</w:t>
      </w:r>
      <w:r>
        <w:rPr>
          <w:rFonts w:cs="Arial"/>
          <w:color w:val="FF0000"/>
        </w:rPr>
        <w:t>）我们还就已遵守与独立性相关的职业道德要求向治理层提供声明，并与治理层沟通可能被合理认为影响我们独立性的所有关系和其他事项，以及相关的防范措施（如适用）。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r>
        <w:rPr>
          <w:rFonts w:cs="Arial"/>
          <w:color w:val="0000FF"/>
        </w:rPr>
        <w:t>（上市实体适用）】</w:t>
      </w:r>
    </w:p>
    <w:p>
      <w:pPr>
        <w:pStyle w:val="Style15"/>
        <w:spacing w:lineRule="exact" w:line="440"/>
        <w:ind w:firstLine="420"/>
        <w:rPr/>
      </w:pPr>
      <w:r>
        <w:rPr>
          <w:rFonts w:cs="Arial"/>
        </w:rPr>
        <w:t>根据《中国注册会计师审计准则第</w:t>
      </w:r>
      <w:r>
        <w:rPr>
          <w:rFonts w:cs="Arial"/>
        </w:rPr>
        <w:t>1151</w:t>
      </w:r>
      <w:r>
        <w:rPr>
          <w:rFonts w:cs="Arial"/>
        </w:rPr>
        <w:t>号——与治理层的沟通》和</w:t>
      </w:r>
      <w:r>
        <w:rPr>
          <w:rFonts w:cs="Arial"/>
          <w:color w:val="363636"/>
        </w:rPr>
        <w:t>《中国注册会计师审计准则第</w:t>
      </w:r>
      <w:r>
        <w:rPr>
          <w:rFonts w:cs="Arial"/>
          <w:color w:val="363636"/>
        </w:rPr>
        <w:t>1152</w:t>
      </w:r>
      <w:r>
        <w:rPr>
          <w:rFonts w:cs="Arial"/>
          <w:color w:val="363636"/>
        </w:rPr>
        <w:t>号——向治理层和管理层通报内部控制缺陷》</w:t>
      </w:r>
      <w:r>
        <w:rPr>
          <w:rFonts w:cs="Arial"/>
        </w:rPr>
        <w:t>的规定，在</w:t>
      </w:r>
      <w:r>
        <w:rPr>
          <w:rFonts w:cs="Arial"/>
          <w:color w:val="0000FF"/>
        </w:rPr>
        <w:t>【审计工作期间】【外勤审计工作结束之后】</w:t>
      </w:r>
      <w:r>
        <w:rPr>
          <w:rFonts w:cs="Arial"/>
        </w:rPr>
        <w:t>，我们需要就以下事项与贵管理层进行沟通。保持有效的双向沟通关系，有利于我们与贵管理层履行各自的职责。</w:t>
      </w:r>
    </w:p>
    <w:p>
      <w:pPr>
        <w:pStyle w:val="Style15"/>
        <w:spacing w:lineRule="exact" w:line="440"/>
        <w:ind w:firstLine="420"/>
        <w:rPr>
          <w:rFonts w:cs="Arial"/>
          <w:color w:val="0000FF"/>
        </w:rPr>
      </w:pPr>
      <w:r>
        <w:rPr>
          <w:rFonts w:cs="Arial"/>
          <w:color w:val="0000FF"/>
        </w:rPr>
        <w:t>【事中沟通或事后沟通内容（具体内容举例见后面）】</w:t>
      </w:r>
    </w:p>
    <w:p>
      <w:pPr>
        <w:pStyle w:val="Style15"/>
        <w:spacing w:lineRule="exact" w:line="440"/>
        <w:ind w:firstLine="420"/>
        <w:rPr>
          <w:rFonts w:ascii="Arial" w:hAnsi="Arial" w:eastAsia="楷体_GB2312;楷体" w:cs="Arial"/>
        </w:rPr>
      </w:pPr>
      <w:r>
        <w:rPr>
          <w:rFonts w:cs="Arial"/>
        </w:rPr>
        <w:t>必须特别强调的是，除法律法规和审计准则另有规定的情形之外，这份书面沟通文件仅供贵管理层使用，我们对第三方不承担任何责任，未经我们事先书面同意，沟通文件不得被引用、提及或向其他人披露。</w:t>
      </w:r>
      <w:r>
        <w:br w:type="page"/>
      </w:r>
    </w:p>
    <w:p>
      <w:pPr>
        <w:pStyle w:val="Style15"/>
        <w:spacing w:lineRule="exact" w:line="440"/>
        <w:ind w:firstLine="420"/>
        <w:rPr/>
      </w:pPr>
      <w:r>
        <w:rPr>
          <w:rFonts w:cs="宋体;SimSun"/>
        </w:rPr>
        <w:t xml:space="preserve">   </w:t>
      </w:r>
      <w:r>
        <w:rPr>
          <w:rFonts w:cs="Arial"/>
          <w:b/>
          <w:bCs/>
        </w:rPr>
        <w:t>【事中沟通】</w:t>
      </w:r>
      <w:r>
        <w:rPr>
          <w:rFonts w:cs="Arial"/>
          <w:i/>
          <w:color w:val="0000FF"/>
        </w:rPr>
        <w:t>【视具体情况而定，也可以列入事后沟通】</w:t>
      </w:r>
    </w:p>
    <w:p>
      <w:pPr>
        <w:pStyle w:val="Style15"/>
        <w:numPr>
          <w:ilvl w:val="0"/>
          <w:numId w:val="3"/>
        </w:numPr>
        <w:spacing w:lineRule="exact" w:line="440"/>
        <w:ind w:left="426" w:hanging="0"/>
        <w:rPr>
          <w:rFonts w:cs="Arial"/>
        </w:rPr>
      </w:pPr>
      <w:r>
        <w:rPr>
          <w:rFonts w:cs="Arial"/>
        </w:rPr>
        <w:t>对贵公司所采用的会计政策、会计估计和财务报表披露的看法</w:t>
      </w:r>
    </w:p>
    <w:p>
      <w:pPr>
        <w:pStyle w:val="Style15"/>
        <w:snapToGrid w:val="false"/>
        <w:spacing w:lineRule="exact" w:line="440"/>
        <w:ind w:firstLine="210"/>
        <w:rPr>
          <w:rFonts w:cs="Arial"/>
          <w:color w:val="0000FF"/>
        </w:rPr>
      </w:pPr>
      <w:r>
        <w:rPr>
          <w:rFonts w:cs="Arial"/>
          <w:color w:val="0000FF"/>
        </w:rPr>
        <w:t>【就事前了解的情况与审计工作注意到的实际会计核算中有较大差异、且与董事会责任相关的部分进行再次沟通和确认】</w:t>
      </w:r>
    </w:p>
    <w:p>
      <w:pPr>
        <w:pStyle w:val="Style15"/>
        <w:numPr>
          <w:ilvl w:val="1"/>
          <w:numId w:val="3"/>
        </w:numPr>
        <w:tabs>
          <w:tab w:val="left" w:pos="900" w:leader="none"/>
          <w:tab w:val="left" w:pos="993" w:leader="none"/>
        </w:tabs>
        <w:spacing w:lineRule="exact" w:line="440"/>
        <w:ind w:left="0" w:firstLine="426"/>
        <w:rPr>
          <w:rFonts w:cs="Arial"/>
          <w:color w:val="FF0000"/>
        </w:rPr>
      </w:pPr>
      <w:r>
        <w:rPr>
          <w:rFonts w:cs="Arial"/>
          <w:color w:val="FF0000"/>
        </w:rPr>
        <w:t>我们对于关键审计事项的考虑（如适用）</w:t>
      </w:r>
    </w:p>
    <w:p>
      <w:pPr>
        <w:pStyle w:val="Style15"/>
        <w:tabs>
          <w:tab w:val="left" w:pos="900" w:leader="none"/>
        </w:tabs>
        <w:spacing w:lineRule="exact" w:line="440"/>
        <w:ind w:firstLine="372"/>
        <w:rPr>
          <w:rFonts w:cs="Arial"/>
          <w:color w:val="FF0000"/>
        </w:rPr>
      </w:pPr>
      <w:r>
        <w:rPr>
          <w:rFonts w:cs="Arial"/>
          <w:color w:val="0000FF"/>
        </w:rPr>
        <w:t>（上市公司应按照</w:t>
      </w:r>
      <w:r>
        <w:rPr>
          <w:rFonts w:cs="Arial"/>
          <w:color w:val="0000FF"/>
        </w:rPr>
        <w:t>CSA1504</w:t>
      </w:r>
      <w:r>
        <w:rPr>
          <w:rFonts w:cs="Arial"/>
          <w:color w:val="0000FF"/>
        </w:rPr>
        <w:t>的要求，就我们已经确定的重点考虑关注的事项，与管理层进行沟通，并将计划与治理层进行沟通的关键审计事项等情况进行说明，了解管理层对相关事项理解和态度。同时了解</w:t>
      </w:r>
      <w:r>
        <w:rPr>
          <w:rFonts w:cs="Arial"/>
          <w:color w:val="0000FF"/>
        </w:rPr>
        <w:t>管理层认为审计中应</w:t>
      </w:r>
      <w:r>
        <w:rPr>
          <w:rFonts w:cs="Arial"/>
          <w:color w:val="0000FF"/>
        </w:rPr>
        <w:t>重点关注或考虑</w:t>
      </w:r>
      <w:r>
        <w:rPr>
          <w:rFonts w:cs="Arial"/>
          <w:color w:val="0000FF"/>
        </w:rPr>
        <w:t>的事项，以及需要采取额外程序的领域；管理层认为可能会影响财务报表审计的事项</w:t>
      </w:r>
      <w:r>
        <w:rPr>
          <w:rFonts w:cs="Arial"/>
          <w:color w:val="0000FF"/>
        </w:rPr>
        <w:t>等等。）</w:t>
      </w:r>
      <w:r>
        <w:rPr>
          <w:rFonts w:cs="Arial"/>
          <w:color w:val="FF0000"/>
        </w:rPr>
        <w:t>】</w:t>
      </w:r>
    </w:p>
    <w:p>
      <w:pPr>
        <w:pStyle w:val="Style15"/>
        <w:snapToGrid w:val="false"/>
        <w:spacing w:lineRule="exact" w:line="440"/>
        <w:ind w:firstLine="210"/>
        <w:rPr>
          <w:rFonts w:cs="Arial"/>
          <w:color w:val="0000FF"/>
        </w:rPr>
      </w:pPr>
      <w:r>
        <w:rPr>
          <w:rFonts w:cs="Arial"/>
          <w:color w:val="0000FF"/>
        </w:rPr>
      </w:r>
    </w:p>
    <w:p>
      <w:pPr>
        <w:pStyle w:val="Style15"/>
        <w:spacing w:lineRule="exact" w:line="440"/>
        <w:ind w:firstLine="420"/>
        <w:rPr>
          <w:rFonts w:cs="Arial"/>
        </w:rPr>
      </w:pPr>
      <w:r>
        <w:rPr>
          <w:rFonts w:cs="Arial"/>
        </w:rPr>
        <w:t>3</w:t>
      </w:r>
      <w:r>
        <w:rPr>
          <w:rFonts w:cs="Arial"/>
        </w:rPr>
        <w:t>、审计工作中遇到的重大困难</w:t>
      </w:r>
    </w:p>
    <w:p>
      <w:pPr>
        <w:pStyle w:val="Style15"/>
        <w:spacing w:lineRule="exact" w:line="440"/>
        <w:ind w:firstLine="420"/>
        <w:rPr>
          <w:rFonts w:cs="Arial"/>
          <w:color w:val="0000FF"/>
        </w:rPr>
      </w:pPr>
      <w:r>
        <w:rPr>
          <w:rFonts w:cs="Arial"/>
          <w:color w:val="0000FF"/>
        </w:rPr>
        <w:t>【根据已经出现的具体情况进行描述】。</w:t>
      </w:r>
    </w:p>
    <w:p>
      <w:pPr>
        <w:pStyle w:val="Style15"/>
        <w:snapToGrid w:val="false"/>
        <w:spacing w:lineRule="exact" w:line="440"/>
        <w:ind w:firstLine="420"/>
        <w:rPr>
          <w:rFonts w:cs="Arial"/>
          <w:color w:val="0000FF"/>
        </w:rPr>
      </w:pPr>
      <w:r>
        <w:rPr>
          <w:rFonts w:cs="Arial"/>
          <w:color w:val="0000FF"/>
        </w:rPr>
        <w:t>【如：管理层在提供审计所需信息时出现故意拖延；不合理地要求缩短完成审计工作的时间；为获取充分、适当的审计证据需要付出的努力远远超过预期或无法获取预期的证据；管理层对注册会计师施加的限制；管理层不愿按照注册会计师的要求对持续经营能力作出评估，或拒绝将评估期间延伸至资产负债表日起的十二个月等等。】</w:t>
      </w:r>
    </w:p>
    <w:p>
      <w:pPr>
        <w:pStyle w:val="Style15"/>
        <w:snapToGrid w:val="false"/>
        <w:spacing w:lineRule="exact" w:line="440"/>
        <w:ind w:firstLine="420"/>
        <w:rPr>
          <w:rFonts w:cs="Arial"/>
          <w:color w:val="0000FF"/>
        </w:rPr>
      </w:pPr>
      <w:r>
        <w:rPr>
          <w:rFonts w:cs="Arial"/>
          <w:color w:val="0000FF"/>
        </w:rPr>
      </w:r>
    </w:p>
    <w:p>
      <w:pPr>
        <w:pStyle w:val="Style15"/>
        <w:snapToGrid w:val="false"/>
        <w:spacing w:lineRule="exact" w:line="440"/>
        <w:ind w:firstLine="420"/>
        <w:rPr>
          <w:rFonts w:cs="Arial"/>
        </w:rPr>
      </w:pPr>
      <w:r>
        <w:rPr>
          <w:rFonts w:cs="Arial"/>
        </w:rPr>
        <w:t>4</w:t>
      </w:r>
      <w:r>
        <w:rPr>
          <w:rFonts w:cs="Arial"/>
        </w:rPr>
        <w:t>、其他事项</w:t>
      </w:r>
    </w:p>
    <w:p>
      <w:pPr>
        <w:pStyle w:val="Style15"/>
        <w:spacing w:lineRule="exact" w:line="440"/>
        <w:ind w:firstLine="403"/>
        <w:rPr>
          <w:rFonts w:cs="Arial"/>
        </w:rPr>
      </w:pPr>
      <w:r>
        <w:rPr>
          <w:rFonts w:cs="宋体;SimSun"/>
        </w:rPr>
        <w:t>……</w:t>
      </w:r>
    </w:p>
    <w:p>
      <w:pPr>
        <w:pStyle w:val="Heading2"/>
        <w:numPr>
          <w:ilvl w:val="1"/>
          <w:numId w:val="1"/>
        </w:numPr>
        <w:spacing w:lineRule="exact" w:line="440" w:before="0" w:after="0"/>
        <w:rPr>
          <w:rFonts w:ascii="宋体;SimSun" w:hAnsi="宋体;SimSun" w:cs="Arial"/>
          <w:sz w:val="21"/>
          <w:szCs w:val="21"/>
        </w:rPr>
      </w:pPr>
      <w:r>
        <w:rPr>
          <w:rFonts w:ascii="宋体;SimSun" w:hAnsi="宋体;SimSun" w:cs="Arial"/>
          <w:sz w:val="21"/>
          <w:szCs w:val="21"/>
        </w:rPr>
        <w:t>【事后沟通】</w:t>
      </w:r>
    </w:p>
    <w:p>
      <w:pPr>
        <w:pStyle w:val="Style15"/>
        <w:numPr>
          <w:ilvl w:val="0"/>
          <w:numId w:val="2"/>
        </w:numPr>
        <w:tabs>
          <w:tab w:val="left" w:pos="0" w:leader="none"/>
          <w:tab w:val="left" w:pos="900" w:leader="none"/>
        </w:tabs>
        <w:spacing w:lineRule="exact" w:line="440"/>
        <w:ind w:left="0" w:firstLine="540"/>
        <w:rPr>
          <w:rFonts w:cs="Arial"/>
        </w:rPr>
      </w:pPr>
      <w:r>
        <w:rPr>
          <w:rFonts w:cs="Arial"/>
        </w:rPr>
        <w:t>对贵公司所采用的会计政策、会计估计和财务报表披露的看法</w:t>
      </w:r>
    </w:p>
    <w:p>
      <w:pPr>
        <w:pStyle w:val="Style15"/>
        <w:tabs>
          <w:tab w:val="left" w:pos="0" w:leader="none"/>
          <w:tab w:val="left" w:pos="900" w:leader="none"/>
        </w:tabs>
        <w:snapToGrid w:val="false"/>
        <w:spacing w:lineRule="exact" w:line="440"/>
        <w:rPr>
          <w:rFonts w:cs="Arial"/>
          <w:color w:val="0000FF"/>
        </w:rPr>
      </w:pPr>
      <w:r>
        <w:rPr>
          <w:rFonts w:cs="Arial"/>
          <w:color w:val="0000FF"/>
        </w:rPr>
        <w:t>【根据审计过程中注意到的可能对财务报表产生重大影响、且与管理层管理责任相关的内容】；</w:t>
      </w:r>
    </w:p>
    <w:p>
      <w:pPr>
        <w:pStyle w:val="Style15"/>
        <w:numPr>
          <w:ilvl w:val="0"/>
          <w:numId w:val="2"/>
        </w:numPr>
        <w:tabs>
          <w:tab w:val="left" w:pos="900" w:leader="none"/>
          <w:tab w:val="left" w:pos="1260" w:leader="none"/>
        </w:tabs>
        <w:spacing w:lineRule="exact" w:line="440"/>
        <w:ind w:left="0" w:firstLine="540"/>
        <w:rPr>
          <w:rFonts w:cs="Arial"/>
        </w:rPr>
      </w:pPr>
      <w:r>
        <w:rPr>
          <w:rFonts w:cs="Arial"/>
        </w:rPr>
        <w:t>根据职业判断认为需要出具管理层声明</w:t>
      </w:r>
    </w:p>
    <w:p>
      <w:pPr>
        <w:pStyle w:val="Style15"/>
        <w:snapToGrid w:val="false"/>
        <w:spacing w:lineRule="exact" w:line="440"/>
        <w:ind w:firstLine="420"/>
        <w:rPr>
          <w:rFonts w:cs="Arial"/>
          <w:color w:val="0000FF"/>
        </w:rPr>
      </w:pPr>
      <w:r>
        <w:rPr>
          <w:rFonts w:cs="Arial"/>
          <w:color w:val="0000FF"/>
        </w:rPr>
        <w:t>【如：缺乏其他证据能对管理层声明的内容提供进一步的证据；审计取得的证据与管理层声明不符；因管理层意图不同而选用不同的会计处理方式对财务报表的有较大影响（如有关投资性房地产的界定、金融资产的分类、无形资产开发阶段的划分等等）。】</w:t>
      </w:r>
    </w:p>
    <w:p>
      <w:pPr>
        <w:pStyle w:val="Style15"/>
        <w:numPr>
          <w:ilvl w:val="0"/>
          <w:numId w:val="2"/>
        </w:numPr>
        <w:tabs>
          <w:tab w:val="left" w:pos="851" w:leader="none"/>
          <w:tab w:val="left" w:pos="900" w:leader="none"/>
        </w:tabs>
        <w:spacing w:lineRule="exact" w:line="440"/>
        <w:ind w:left="0" w:firstLine="426"/>
        <w:rPr>
          <w:rFonts w:cs="Arial"/>
        </w:rPr>
      </w:pPr>
      <w:r>
        <w:rPr>
          <w:rFonts w:cs="Arial"/>
        </w:rPr>
        <w:t>审计中发现的重大事项</w:t>
      </w:r>
      <w:r>
        <w:rPr>
          <w:rFonts w:cs="Arial"/>
        </w:rPr>
        <w:t>：</w:t>
      </w:r>
    </w:p>
    <w:p>
      <w:pPr>
        <w:pStyle w:val="Style15"/>
        <w:snapToGrid w:val="false"/>
        <w:spacing w:lineRule="exact" w:line="440"/>
        <w:ind w:firstLine="420"/>
        <w:rPr>
          <w:rFonts w:cs="Arial"/>
          <w:color w:val="0000FF"/>
        </w:rPr>
      </w:pPr>
      <w:r>
        <w:rPr>
          <w:rFonts w:cs="Arial"/>
          <w:color w:val="0000FF"/>
        </w:rPr>
        <w:t>【如管理层已更正的错报（可做简要介绍），对管理层就会计或审计事项向其他专业人士进行咨询的重要事项，管理层就会计准则和审计准则应用、审计或其他服务费用与注册会计师进行的讨论或书面沟通</w:t>
      </w:r>
      <w:r>
        <w:rPr>
          <w:rFonts w:cs="Arial"/>
          <w:color w:val="0000FF"/>
        </w:rPr>
        <w:t>(</w:t>
      </w:r>
      <w:r>
        <w:rPr>
          <w:rFonts w:cs="Arial"/>
          <w:color w:val="0000FF"/>
        </w:rPr>
        <w:t>视具体情况选择描述，非全部进行沟通</w:t>
      </w:r>
      <w:r>
        <w:rPr>
          <w:rFonts w:cs="Arial"/>
          <w:color w:val="0000FF"/>
        </w:rPr>
        <w:t>)</w:t>
      </w:r>
      <w:r>
        <w:rPr>
          <w:rFonts w:cs="Arial"/>
          <w:color w:val="0000FF"/>
        </w:rPr>
        <w:t>】。</w:t>
      </w:r>
    </w:p>
    <w:p>
      <w:pPr>
        <w:pStyle w:val="Style15"/>
        <w:numPr>
          <w:ilvl w:val="0"/>
          <w:numId w:val="2"/>
        </w:numPr>
        <w:tabs>
          <w:tab w:val="left" w:pos="900" w:leader="none"/>
          <w:tab w:val="left" w:pos="1260" w:leader="none"/>
        </w:tabs>
        <w:spacing w:lineRule="exact" w:line="440"/>
        <w:ind w:left="0" w:firstLine="539"/>
        <w:rPr>
          <w:rFonts w:cs="Arial"/>
        </w:rPr>
      </w:pPr>
      <w:r>
        <w:rPr>
          <w:rFonts w:cs="Arial"/>
        </w:rPr>
        <w:t>尚未更正的重大错报</w:t>
      </w:r>
    </w:p>
    <w:p>
      <w:pPr>
        <w:pStyle w:val="Style15"/>
        <w:tabs>
          <w:tab w:val="left" w:pos="900" w:leader="none"/>
          <w:tab w:val="left" w:pos="1260" w:leader="none"/>
        </w:tabs>
        <w:spacing w:lineRule="exact" w:line="440"/>
        <w:ind w:left="540" w:hanging="0"/>
        <w:rPr/>
      </w:pPr>
      <w:r>
        <w:rPr>
          <w:rFonts w:cs="Arial"/>
          <w:color w:val="0000FF"/>
        </w:rPr>
        <w:t>【逐项具体描述例】</w:t>
      </w:r>
    </w:p>
    <w:p>
      <w:pPr>
        <w:pStyle w:val="Style15"/>
        <w:numPr>
          <w:ilvl w:val="0"/>
          <w:numId w:val="2"/>
        </w:numPr>
        <w:tabs>
          <w:tab w:val="left" w:pos="900" w:leader="none"/>
          <w:tab w:val="left" w:pos="1260" w:leader="none"/>
        </w:tabs>
        <w:spacing w:lineRule="exact" w:line="440"/>
        <w:ind w:left="0" w:firstLine="539"/>
        <w:rPr/>
      </w:pPr>
      <w:r>
        <w:rPr>
          <w:rFonts w:cs="Arial"/>
        </w:rPr>
        <w:t xml:space="preserve">内部控制重要缺陷：（注：本段内容适用于仅承做财务报表审计，不承做内部控制审计业务的情况。在同时需出具内部控制审计报告的情况下，应把内部控制缺陷的沟通集中到后面的“二、内控审计方面的问题”部分中。） </w:t>
      </w:r>
    </w:p>
    <w:p>
      <w:pPr>
        <w:pStyle w:val="Normal"/>
        <w:widowControl/>
        <w:spacing w:lineRule="exact" w:line="440"/>
        <w:ind w:firstLine="372"/>
        <w:rPr>
          <w:rFonts w:ascii="宋体;SimSun" w:hAnsi="宋体;SimSun" w:cs="Arial"/>
          <w:szCs w:val="21"/>
        </w:rPr>
      </w:pPr>
      <w:r>
        <w:rPr>
          <w:rFonts w:cs="宋体;SimSun" w:ascii="宋体;SimSun" w:hAnsi="宋体;SimSun"/>
          <w:szCs w:val="21"/>
        </w:rPr>
        <w:t xml:space="preserve"> </w:t>
      </w:r>
      <w:r>
        <w:rPr>
          <w:rFonts w:ascii="宋体;SimSun" w:hAnsi="宋体;SimSun" w:cs="Arial"/>
          <w:szCs w:val="21"/>
        </w:rPr>
        <w:t>需要特别说明的是：（</w:t>
      </w:r>
      <w:r>
        <w:rPr>
          <w:rFonts w:cs="Arial" w:ascii="宋体;SimSun" w:hAnsi="宋体;SimSun"/>
          <w:szCs w:val="21"/>
        </w:rPr>
        <w:t>1</w:t>
      </w:r>
      <w:r>
        <w:rPr>
          <w:rFonts w:ascii="宋体;SimSun" w:hAnsi="宋体;SimSun" w:cs="Arial"/>
          <w:szCs w:val="21"/>
        </w:rPr>
        <w:t>） 注册会计师执行审计工作的目的是对财务报表发表审计意见；（</w:t>
      </w:r>
      <w:r>
        <w:rPr>
          <w:rFonts w:cs="Arial" w:ascii="宋体;SimSun" w:hAnsi="宋体;SimSun"/>
          <w:szCs w:val="21"/>
        </w:rPr>
        <w:t>2</w:t>
      </w:r>
      <w:r>
        <w:rPr>
          <w:rFonts w:ascii="宋体;SimSun" w:hAnsi="宋体;SimSun" w:cs="Arial"/>
          <w:szCs w:val="21"/>
        </w:rPr>
        <w:t>）审计工作包括考虑与财务报表编制相关的内部控制，其目的是设计适合具体情况的审计程序，并非对内部控制的有效性发表意见；（</w:t>
      </w:r>
      <w:r>
        <w:rPr>
          <w:rFonts w:cs="Arial" w:ascii="宋体;SimSun" w:hAnsi="宋体;SimSun"/>
          <w:szCs w:val="21"/>
        </w:rPr>
        <w:t>3</w:t>
      </w:r>
      <w:r>
        <w:rPr>
          <w:rFonts w:ascii="宋体;SimSun" w:hAnsi="宋体;SimSun" w:cs="Arial"/>
          <w:szCs w:val="21"/>
        </w:rPr>
        <w:t xml:space="preserve">）报告的事项仅限于注册会计师在审计过程中识别出的、认为足够重要从而值得向治理层报告的缺陷。  </w:t>
      </w:r>
    </w:p>
    <w:p>
      <w:pPr>
        <w:pStyle w:val="Style15"/>
        <w:snapToGrid w:val="false"/>
        <w:spacing w:lineRule="exact" w:line="440"/>
        <w:ind w:firstLine="420"/>
        <w:rPr>
          <w:rFonts w:cs="Arial"/>
          <w:color w:val="0000FF"/>
        </w:rPr>
      </w:pPr>
      <w:r>
        <w:rPr>
          <w:rFonts w:cs="Arial"/>
          <w:color w:val="0000FF"/>
        </w:rPr>
        <w:t xml:space="preserve">【注册会计师应当在内部控制重要缺陷的书面沟通文件中包括： </w:t>
      </w:r>
    </w:p>
    <w:p>
      <w:pPr>
        <w:pStyle w:val="Style15"/>
        <w:snapToGrid w:val="false"/>
        <w:spacing w:lineRule="exact" w:line="440"/>
        <w:ind w:firstLine="420"/>
        <w:rPr>
          <w:rFonts w:cs="Arial"/>
          <w:color w:val="0000FF"/>
        </w:rPr>
      </w:pPr>
      <w:r>
        <w:rPr>
          <w:rFonts w:cs="Arial"/>
          <w:color w:val="0000FF"/>
        </w:rPr>
        <w:t>（</w:t>
      </w:r>
      <w:r>
        <w:rPr>
          <w:rFonts w:cs="Arial"/>
          <w:color w:val="0000FF"/>
        </w:rPr>
        <w:t>1</w:t>
      </w:r>
      <w:r>
        <w:rPr>
          <w:rFonts w:cs="Arial"/>
          <w:color w:val="0000FF"/>
        </w:rPr>
        <w:t>）对缺陷的描述以及对其潜在影响的解释；</w:t>
      </w:r>
    </w:p>
    <w:p>
      <w:pPr>
        <w:pStyle w:val="Style15"/>
        <w:numPr>
          <w:ilvl w:val="0"/>
          <w:numId w:val="4"/>
        </w:numPr>
        <w:snapToGrid w:val="false"/>
        <w:spacing w:lineRule="exact" w:line="440"/>
        <w:ind w:left="993" w:hanging="567"/>
        <w:rPr>
          <w:rFonts w:cs="Arial"/>
          <w:color w:val="0000FF"/>
        </w:rPr>
      </w:pPr>
      <w:r>
        <w:rPr>
          <w:rFonts w:cs="Arial"/>
          <w:color w:val="0000FF"/>
        </w:rPr>
        <w:t>使管理层能够了解沟通背景的充分的信息。】</w:t>
      </w:r>
    </w:p>
    <w:p>
      <w:pPr>
        <w:pStyle w:val="Normal"/>
        <w:widowControl/>
        <w:spacing w:lineRule="exact" w:line="440"/>
        <w:ind w:firstLine="372"/>
        <w:rPr>
          <w:rFonts w:ascii="宋体;SimSun" w:hAnsi="宋体;SimSun" w:cs="Arial"/>
          <w:szCs w:val="21"/>
        </w:rPr>
      </w:pPr>
      <w:r>
        <w:rPr>
          <w:rFonts w:cs="宋体;SimSun" w:ascii="宋体;SimSun" w:hAnsi="宋体;SimSun"/>
          <w:color w:val="0000FF"/>
          <w:szCs w:val="21"/>
        </w:rPr>
        <w:t xml:space="preserve"> </w:t>
      </w:r>
    </w:p>
    <w:p>
      <w:pPr>
        <w:pStyle w:val="Style15"/>
        <w:numPr>
          <w:ilvl w:val="0"/>
          <w:numId w:val="2"/>
        </w:numPr>
        <w:tabs>
          <w:tab w:val="left" w:pos="426" w:leader="none"/>
          <w:tab w:val="left" w:pos="709" w:leader="none"/>
        </w:tabs>
        <w:spacing w:lineRule="exact" w:line="440"/>
        <w:ind w:left="0" w:firstLine="426"/>
        <w:rPr>
          <w:rFonts w:cs="Arial"/>
        </w:rPr>
      </w:pPr>
      <w:r>
        <w:rPr>
          <w:rFonts w:cs="Arial"/>
        </w:rPr>
        <w:t>审计中发现的、根据职业判断认为重大且与管理层履行财务报告过程监督责任直接相关的其他事项：</w:t>
      </w:r>
    </w:p>
    <w:p>
      <w:pPr>
        <w:pStyle w:val="Style15"/>
        <w:tabs>
          <w:tab w:val="left" w:pos="1260" w:leader="none"/>
        </w:tabs>
        <w:snapToGrid w:val="false"/>
        <w:spacing w:lineRule="exact" w:line="440"/>
        <w:ind w:firstLine="372"/>
        <w:rPr>
          <w:rFonts w:cs="Arial"/>
          <w:color w:val="0000FF"/>
        </w:rPr>
      </w:pPr>
      <w:r>
        <w:rPr>
          <w:rFonts w:cs="Arial"/>
          <w:color w:val="0000FF"/>
        </w:rPr>
        <w:t>【如已更正的、含有已审计财务报表的文件中的其他信息存在的对事实的重大错报或重大不一致等。】</w:t>
      </w:r>
    </w:p>
    <w:p>
      <w:pPr>
        <w:pStyle w:val="Style15"/>
        <w:tabs>
          <w:tab w:val="left" w:pos="1260" w:leader="none"/>
        </w:tabs>
        <w:snapToGrid w:val="false"/>
        <w:spacing w:lineRule="exact" w:line="440"/>
        <w:ind w:firstLine="372"/>
        <w:rPr>
          <w:rFonts w:cs="Arial"/>
          <w:color w:val="0000FF"/>
        </w:rPr>
      </w:pPr>
      <w:r>
        <w:rPr>
          <w:rFonts w:cs="Arial"/>
          <w:color w:val="0000FF"/>
        </w:rPr>
        <w:t>7</w:t>
      </w:r>
      <w:r>
        <w:rPr>
          <w:rFonts w:cs="Arial"/>
          <w:color w:val="0000FF"/>
        </w:rPr>
        <w:t>、审计报告的形式和计划报告内容【对于审计报告的形式、意见类型、以及计划在报告中进行披露的事项，如关键事项、强调事项、其他事项、其他信息以及持续经营等。了解管理层对于相关报告内容和措辞的意见，以从管理层获取进一步解释和补充证据，以确定最终我们出具的报告意见是否恰当。】</w:t>
      </w:r>
    </w:p>
    <w:p>
      <w:pPr>
        <w:pStyle w:val="Style15"/>
        <w:tabs>
          <w:tab w:val="left" w:pos="1260" w:leader="none"/>
        </w:tabs>
        <w:snapToGrid w:val="false"/>
        <w:spacing w:lineRule="exact" w:line="440"/>
        <w:ind w:firstLine="372"/>
        <w:rPr>
          <w:rFonts w:cs="Arial"/>
          <w:color w:val="0000FF"/>
        </w:rPr>
      </w:pPr>
      <w:r>
        <w:rPr>
          <w:rFonts w:cs="Arial"/>
          <w:color w:val="0000FF"/>
        </w:rPr>
      </w:r>
    </w:p>
    <w:p>
      <w:pPr>
        <w:pStyle w:val="Style15"/>
        <w:tabs>
          <w:tab w:val="left" w:pos="0" w:leader="none"/>
          <w:tab w:val="left" w:pos="900" w:leader="none"/>
        </w:tabs>
        <w:spacing w:lineRule="exact" w:line="440"/>
        <w:ind w:left="786" w:hanging="0"/>
        <w:rPr/>
      </w:pPr>
      <w:r>
        <w:rPr>
          <w:rFonts w:cs="Arial"/>
        </w:rPr>
        <w:t>8</w:t>
      </w:r>
      <w:r>
        <w:rPr>
          <w:rFonts w:cs="Arial"/>
        </w:rPr>
        <w:t>、</w:t>
      </w:r>
      <w:r>
        <w:rPr>
          <w:rFonts w:cs="Arial"/>
        </w:rPr>
        <w:t>其他事项</w:t>
      </w:r>
    </w:p>
    <w:p>
      <w:pPr>
        <w:pStyle w:val="Style15"/>
        <w:spacing w:lineRule="exact" w:line="440"/>
        <w:ind w:firstLine="420"/>
        <w:rPr>
          <w:rFonts w:cs="Arial"/>
        </w:rPr>
      </w:pPr>
      <w:r>
        <w:rPr>
          <w:rFonts w:cs="宋体;SimSun"/>
        </w:rPr>
        <w:t>……</w:t>
      </w:r>
    </w:p>
    <w:p>
      <w:pPr>
        <w:pStyle w:val="Style15"/>
        <w:tabs>
          <w:tab w:val="left" w:pos="1260" w:leader="none"/>
        </w:tabs>
        <w:snapToGrid w:val="false"/>
        <w:spacing w:lineRule="exact" w:line="440"/>
        <w:ind w:firstLine="372"/>
        <w:rPr>
          <w:rFonts w:cs="Arial"/>
          <w:color w:val="0000FF"/>
        </w:rPr>
      </w:pPr>
      <w:r>
        <w:rPr>
          <w:rFonts w:cs="Arial"/>
          <w:color w:val="0000FF"/>
        </w:rPr>
        <w:t>【对于需要同时需要单独出具内部控制审计报告的整合审计项目，应当删除事后沟通的第</w:t>
      </w:r>
      <w:r>
        <w:rPr>
          <w:rFonts w:cs="Arial"/>
          <w:color w:val="0000FF"/>
        </w:rPr>
        <w:t>5</w:t>
      </w:r>
      <w:r>
        <w:rPr>
          <w:rFonts w:cs="Arial"/>
          <w:color w:val="0000FF"/>
        </w:rPr>
        <w:t>项内容，将前述内容作为“一、财务报表审计方面的问题 ”并且增加“二、内控审计方面的问题”，具体内容如下：</w:t>
      </w:r>
    </w:p>
    <w:p>
      <w:pPr>
        <w:pStyle w:val="Style15"/>
        <w:tabs>
          <w:tab w:val="left" w:pos="1260" w:leader="none"/>
        </w:tabs>
        <w:snapToGrid w:val="false"/>
        <w:spacing w:lineRule="exact" w:line="440"/>
        <w:ind w:firstLine="372"/>
        <w:rPr/>
      </w:pPr>
      <w:r>
        <w:rPr>
          <w:rFonts w:cs="Arial"/>
          <w:color w:val="0000FF"/>
        </w:rPr>
        <w:t>二、内控审计方面的问题</w:t>
      </w:r>
    </w:p>
    <w:p>
      <w:pPr>
        <w:pStyle w:val="Style15"/>
        <w:tabs>
          <w:tab w:val="left" w:pos="1260" w:leader="none"/>
        </w:tabs>
        <w:snapToGrid w:val="false"/>
        <w:spacing w:lineRule="exact" w:line="440"/>
        <w:ind w:firstLine="372"/>
        <w:rPr>
          <w:rFonts w:cs="Arial"/>
          <w:color w:val="0000FF"/>
        </w:rPr>
      </w:pPr>
      <w:r>
        <w:rPr>
          <w:rFonts w:cs="Arial"/>
          <w:color w:val="0000FF"/>
        </w:rPr>
        <w:t>在按照《企业内部控制审计指引》的规定计划和执行贵公司</w:t>
      </w:r>
      <w:r>
        <w:rPr>
          <w:rFonts w:cs="Arial"/>
          <w:color w:val="0000FF"/>
        </w:rPr>
        <w:t>20×1</w:t>
      </w:r>
      <w:r>
        <w:rPr>
          <w:rFonts w:cs="Arial"/>
          <w:color w:val="0000FF"/>
        </w:rPr>
        <w:t>年</w:t>
      </w:r>
      <w:r>
        <w:rPr>
          <w:rFonts w:cs="Arial"/>
          <w:color w:val="0000FF"/>
        </w:rPr>
        <w:t>12</w:t>
      </w:r>
      <w:r>
        <w:rPr>
          <w:rFonts w:cs="Arial"/>
          <w:color w:val="0000FF"/>
        </w:rPr>
        <w:t>月</w:t>
      </w:r>
      <w:r>
        <w:rPr>
          <w:rFonts w:cs="Arial"/>
          <w:color w:val="0000FF"/>
        </w:rPr>
        <w:t>31</w:t>
      </w:r>
      <w:r>
        <w:rPr>
          <w:rFonts w:cs="Arial"/>
          <w:color w:val="0000FF"/>
        </w:rPr>
        <w:t>日的财务报表和财务报告内部控制审计工作时，我们的责任是基于审计工作对财务报表和财务报告内部控制发表意见。因此，我们设计审计程序，评价财务报告内部控制的有效性，以便对贵公司</w:t>
      </w:r>
      <w:r>
        <w:rPr>
          <w:rFonts w:cs="Arial"/>
          <w:color w:val="0000FF"/>
        </w:rPr>
        <w:t>20×1</w:t>
      </w:r>
      <w:r>
        <w:rPr>
          <w:rFonts w:cs="Arial"/>
          <w:color w:val="0000FF"/>
        </w:rPr>
        <w:t>年</w:t>
      </w:r>
      <w:r>
        <w:rPr>
          <w:rFonts w:cs="Arial"/>
          <w:color w:val="0000FF"/>
        </w:rPr>
        <w:t>12</w:t>
      </w:r>
      <w:r>
        <w:rPr>
          <w:rFonts w:cs="Arial"/>
          <w:color w:val="0000FF"/>
        </w:rPr>
        <w:t>月</w:t>
      </w:r>
      <w:r>
        <w:rPr>
          <w:rFonts w:cs="Arial"/>
          <w:color w:val="0000FF"/>
        </w:rPr>
        <w:t>31</w:t>
      </w:r>
      <w:r>
        <w:rPr>
          <w:rFonts w:cs="Arial"/>
          <w:color w:val="0000FF"/>
        </w:rPr>
        <w:t>日的财务报告内部控制是否存在重大缺陷获取合理保证。在审计过程中，我们可能发现单独或汇总起来严重程度低于重大缺陷的缺陷。</w:t>
      </w:r>
    </w:p>
    <w:p>
      <w:pPr>
        <w:pStyle w:val="Style15"/>
        <w:tabs>
          <w:tab w:val="left" w:pos="1260" w:leader="none"/>
        </w:tabs>
        <w:snapToGrid w:val="false"/>
        <w:spacing w:lineRule="exact" w:line="440"/>
        <w:ind w:firstLine="372"/>
        <w:rPr>
          <w:rFonts w:cs="Arial"/>
          <w:color w:val="0000FF"/>
        </w:rPr>
      </w:pPr>
      <w:r>
        <w:rPr>
          <w:rFonts w:cs="Arial"/>
          <w:color w:val="0000FF"/>
        </w:rPr>
        <w:t>按照《企业内部控制审计指引实施意见》的规定，重大缺陷是内部控制中存在的、可能导致不能及时防止或发现并纠正财务报表出现重大错报的一项控制缺陷或多项控制缺陷的组合。</w:t>
      </w:r>
    </w:p>
    <w:p>
      <w:pPr>
        <w:pStyle w:val="Style15"/>
        <w:tabs>
          <w:tab w:val="left" w:pos="1260" w:leader="none"/>
        </w:tabs>
        <w:snapToGrid w:val="false"/>
        <w:spacing w:lineRule="exact" w:line="440"/>
        <w:ind w:firstLine="372"/>
        <w:rPr>
          <w:rFonts w:cs="Arial"/>
          <w:color w:val="0000FF"/>
        </w:rPr>
      </w:pPr>
      <w:r>
        <w:rPr>
          <w:rFonts w:cs="Arial"/>
          <w:color w:val="0000FF"/>
        </w:rPr>
        <w:t>重要缺陷是内部控制中存在的、其严重程度不如重大缺陷但足以引起负责监督被审计单位财务报告的人员</w:t>
      </w:r>
      <w:r>
        <w:rPr>
          <w:rFonts w:cs="Arial"/>
          <w:color w:val="0000FF"/>
        </w:rPr>
        <w:t>(</w:t>
      </w:r>
      <w:r>
        <w:rPr>
          <w:rFonts w:cs="Arial"/>
          <w:color w:val="0000FF"/>
        </w:rPr>
        <w:t>如审计委员会或类似机构</w:t>
      </w:r>
      <w:r>
        <w:rPr>
          <w:rFonts w:cs="Arial"/>
          <w:color w:val="0000FF"/>
        </w:rPr>
        <w:t>)</w:t>
      </w:r>
      <w:r>
        <w:rPr>
          <w:rFonts w:cs="Arial"/>
          <w:color w:val="0000FF"/>
        </w:rPr>
        <w:t>关注的一项控制缺陷或多项控制缺陷的组合。</w:t>
      </w:r>
    </w:p>
    <w:p>
      <w:pPr>
        <w:pStyle w:val="Style15"/>
        <w:tabs>
          <w:tab w:val="left" w:pos="1260" w:leader="none"/>
        </w:tabs>
        <w:snapToGrid w:val="false"/>
        <w:spacing w:lineRule="exact" w:line="440"/>
        <w:ind w:firstLine="372"/>
        <w:rPr>
          <w:rFonts w:cs="Arial"/>
          <w:color w:val="0000FF"/>
        </w:rPr>
      </w:pPr>
      <w:r>
        <w:rPr>
          <w:rFonts w:cs="Arial"/>
          <w:color w:val="0000FF"/>
        </w:rPr>
        <w:t>一般缺陷是内部控制中存在的、除重大缺陷和重要缺陷之外的控制缺陷。</w:t>
      </w:r>
    </w:p>
    <w:p>
      <w:pPr>
        <w:pStyle w:val="Style15"/>
        <w:tabs>
          <w:tab w:val="left" w:pos="1260" w:leader="none"/>
        </w:tabs>
        <w:snapToGrid w:val="false"/>
        <w:spacing w:lineRule="exact" w:line="440"/>
        <w:ind w:firstLine="372"/>
        <w:rPr>
          <w:rFonts w:cs="Arial"/>
          <w:color w:val="0000FF"/>
        </w:rPr>
      </w:pPr>
      <w:r>
        <w:rPr>
          <w:rFonts w:cs="Arial"/>
          <w:color w:val="0000FF"/>
        </w:rPr>
        <w:t>我们已经向贵公司董事会和审计委员会详细通报了我们在整合审计中识别出的以下重大缺陷和重要缺陷。</w:t>
      </w:r>
    </w:p>
    <w:p>
      <w:pPr>
        <w:pStyle w:val="Style15"/>
        <w:tabs>
          <w:tab w:val="left" w:pos="1260" w:leader="none"/>
        </w:tabs>
        <w:snapToGrid w:val="false"/>
        <w:spacing w:lineRule="exact" w:line="440"/>
        <w:ind w:firstLine="372"/>
        <w:rPr>
          <w:rFonts w:cs="Arial"/>
          <w:color w:val="0000FF"/>
        </w:rPr>
      </w:pPr>
      <w:r>
        <w:rPr>
          <w:rFonts w:cs="Arial"/>
          <w:color w:val="0000FF"/>
        </w:rPr>
        <w:t>重大缺陷</w:t>
      </w:r>
    </w:p>
    <w:p>
      <w:pPr>
        <w:pStyle w:val="Style15"/>
        <w:tabs>
          <w:tab w:val="left" w:pos="1260" w:leader="none"/>
        </w:tabs>
        <w:snapToGrid w:val="false"/>
        <w:spacing w:lineRule="exact" w:line="440"/>
        <w:ind w:firstLine="372"/>
        <w:rPr>
          <w:rFonts w:cs="Arial"/>
          <w:color w:val="0000FF"/>
        </w:rPr>
      </w:pPr>
      <w:r>
        <w:rPr>
          <w:rFonts w:cs="Arial"/>
          <w:color w:val="0000FF"/>
        </w:rPr>
        <w:t>[</w:t>
      </w:r>
      <w:r>
        <w:rPr>
          <w:rFonts w:cs="Arial"/>
          <w:color w:val="0000FF"/>
        </w:rPr>
        <w:t>列明具体缺陷情况……</w:t>
      </w:r>
      <w:r>
        <w:rPr>
          <w:rFonts w:cs="Arial"/>
          <w:color w:val="0000FF"/>
        </w:rPr>
        <w:t>]</w:t>
      </w:r>
    </w:p>
    <w:p>
      <w:pPr>
        <w:pStyle w:val="Style15"/>
        <w:tabs>
          <w:tab w:val="left" w:pos="1260" w:leader="none"/>
        </w:tabs>
        <w:snapToGrid w:val="false"/>
        <w:spacing w:lineRule="exact" w:line="440"/>
        <w:ind w:firstLine="372"/>
        <w:rPr>
          <w:rFonts w:cs="Arial"/>
          <w:color w:val="0000FF"/>
        </w:rPr>
      </w:pPr>
      <w:r>
        <w:rPr>
          <w:rFonts w:cs="Arial"/>
          <w:color w:val="0000FF"/>
        </w:rPr>
        <w:t>重要缺陷</w:t>
      </w:r>
    </w:p>
    <w:p>
      <w:pPr>
        <w:pStyle w:val="Style15"/>
        <w:tabs>
          <w:tab w:val="left" w:pos="1260" w:leader="none"/>
        </w:tabs>
        <w:snapToGrid w:val="false"/>
        <w:spacing w:lineRule="exact" w:line="440"/>
        <w:ind w:firstLine="372"/>
        <w:rPr>
          <w:rFonts w:cs="Arial"/>
          <w:color w:val="0000FF"/>
        </w:rPr>
      </w:pPr>
      <w:r>
        <w:rPr>
          <w:rFonts w:cs="Arial"/>
          <w:color w:val="0000FF"/>
        </w:rPr>
        <w:t>[</w:t>
      </w:r>
      <w:r>
        <w:rPr>
          <w:rFonts w:cs="Arial"/>
          <w:color w:val="0000FF"/>
        </w:rPr>
        <w:t>列明具体缺陷情况……</w:t>
      </w:r>
      <w:r>
        <w:rPr>
          <w:rFonts w:cs="Arial"/>
          <w:color w:val="0000FF"/>
        </w:rPr>
        <w:t>]</w:t>
      </w:r>
    </w:p>
    <w:p>
      <w:pPr>
        <w:pStyle w:val="Style15"/>
        <w:tabs>
          <w:tab w:val="left" w:pos="1260" w:leader="none"/>
        </w:tabs>
        <w:snapToGrid w:val="false"/>
        <w:spacing w:lineRule="exact" w:line="440"/>
        <w:ind w:firstLine="372"/>
        <w:rPr>
          <w:rFonts w:cs="Arial"/>
          <w:color w:val="0000FF"/>
        </w:rPr>
      </w:pPr>
      <w:r>
        <w:rPr>
          <w:rFonts w:cs="Arial"/>
          <w:color w:val="0000FF"/>
        </w:rPr>
        <w:t>此外，我们还注意到以下一般缺陷：</w:t>
      </w:r>
    </w:p>
    <w:p>
      <w:pPr>
        <w:pStyle w:val="Style15"/>
        <w:tabs>
          <w:tab w:val="left" w:pos="1260" w:leader="none"/>
        </w:tabs>
        <w:snapToGrid w:val="false"/>
        <w:spacing w:lineRule="exact" w:line="440"/>
        <w:ind w:firstLine="372"/>
        <w:rPr>
          <w:rFonts w:cs="Arial"/>
          <w:color w:val="0000FF"/>
        </w:rPr>
      </w:pPr>
      <w:r>
        <w:rPr>
          <w:rFonts w:cs="Arial"/>
          <w:color w:val="0000FF"/>
        </w:rPr>
        <w:t>一般缺陷</w:t>
      </w:r>
    </w:p>
    <w:p>
      <w:pPr>
        <w:pStyle w:val="Style15"/>
        <w:tabs>
          <w:tab w:val="left" w:pos="1260" w:leader="none"/>
        </w:tabs>
        <w:snapToGrid w:val="false"/>
        <w:spacing w:lineRule="exact" w:line="440"/>
        <w:ind w:firstLine="372"/>
        <w:rPr/>
      </w:pPr>
      <w:r>
        <w:rPr>
          <w:rFonts w:cs="Arial"/>
          <w:color w:val="0000FF"/>
        </w:rPr>
        <w:t>[</w:t>
      </w:r>
      <w:r>
        <w:rPr>
          <w:rFonts w:cs="Arial"/>
          <w:color w:val="0000FF"/>
        </w:rPr>
        <w:t>列明具体缺陷情况……</w:t>
      </w:r>
      <w:r>
        <w:rPr>
          <w:rFonts w:cs="Arial"/>
          <w:color w:val="0000FF"/>
        </w:rPr>
        <w:t>]</w:t>
      </w:r>
      <w:r>
        <w:rPr>
          <w:rFonts w:cs="Arial"/>
          <w:color w:val="0000FF"/>
        </w:rPr>
        <w:t>】</w:t>
      </w:r>
    </w:p>
    <w:p>
      <w:pPr>
        <w:pStyle w:val="Style15"/>
        <w:spacing w:lineRule="exact" w:line="440"/>
        <w:ind w:firstLine="420"/>
        <w:rPr>
          <w:rFonts w:cs="Arial"/>
          <w:color w:val="0000FF"/>
        </w:rPr>
      </w:pPr>
      <w:r>
        <w:rPr>
          <w:rFonts w:cs="Arial"/>
          <w:color w:val="0000FF"/>
        </w:rPr>
      </w:r>
    </w:p>
    <w:p>
      <w:pPr>
        <w:pStyle w:val="Style15"/>
        <w:spacing w:lineRule="exact" w:line="440"/>
        <w:ind w:firstLine="420"/>
        <w:rPr>
          <w:rFonts w:cs="Arial"/>
        </w:rPr>
      </w:pPr>
      <w:r>
        <w:rPr>
          <w:rFonts w:cs="Arial"/>
        </w:rPr>
      </w:r>
    </w:p>
    <w:p>
      <w:pPr>
        <w:pStyle w:val="Style15"/>
        <w:spacing w:lineRule="exact" w:line="440"/>
        <w:ind w:firstLine="158"/>
        <w:rPr/>
      </w:pPr>
      <w:r>
        <w:rPr>
          <w:rFonts w:cs="Arial"/>
        </w:rPr>
        <w:t xml:space="preserve">瑞华会计师事务所（特殊普通合伙）    </w:t>
      </w:r>
      <w:r>
        <w:rPr>
          <w:rFonts w:cs="Arial"/>
        </w:rPr>
        <w:t xml:space="preserve">   </w:t>
      </w:r>
      <w:r>
        <w:rPr>
          <w:rFonts w:cs="Arial"/>
        </w:rPr>
        <w:t xml:space="preserve"> 中国注册会计师：（签名并盖章）</w:t>
      </w:r>
    </w:p>
    <w:p>
      <w:pPr>
        <w:pStyle w:val="Style15"/>
        <w:spacing w:lineRule="exact" w:line="440"/>
        <w:ind w:firstLine="1680"/>
        <w:rPr>
          <w:rFonts w:cs="Arial"/>
        </w:rPr>
      </w:pPr>
      <w:r>
        <w:rPr>
          <w:rFonts w:cs="Arial"/>
        </w:rPr>
        <w:t>（盖章）</w:t>
      </w:r>
    </w:p>
    <w:p>
      <w:pPr>
        <w:pStyle w:val="Style15"/>
        <w:spacing w:lineRule="exact" w:line="440"/>
        <w:ind w:firstLine="3675"/>
        <w:rPr/>
      </w:pPr>
      <w:r>
        <w:rPr>
          <w:rFonts w:cs="宋体;SimSun"/>
        </w:rPr>
        <w:t xml:space="preserve">       </w:t>
      </w:r>
      <w:r>
        <w:rPr>
          <w:rFonts w:cs="Arial"/>
        </w:rPr>
        <w:t>中国注册会计师：（签名并盖章）</w:t>
      </w:r>
    </w:p>
    <w:p>
      <w:pPr>
        <w:pStyle w:val="Style15"/>
        <w:spacing w:lineRule="exact" w:line="440"/>
        <w:ind w:firstLine="4095"/>
        <w:rPr>
          <w:rFonts w:cs="Arial"/>
        </w:rPr>
      </w:pPr>
      <w:r>
        <w:rPr>
          <w:rFonts w:cs="Arial"/>
        </w:rPr>
      </w:r>
    </w:p>
    <w:p>
      <w:pPr>
        <w:pStyle w:val="Style15"/>
        <w:spacing w:lineRule="exact" w:line="440"/>
        <w:ind w:firstLine="4935"/>
        <w:rPr>
          <w:rFonts w:cs="Arial"/>
        </w:rPr>
      </w:pPr>
      <w:r>
        <w:rPr>
          <w:rFonts w:cs="Arial"/>
        </w:rPr>
        <w:t>二○</w:t>
      </w:r>
      <w:r>
        <w:rPr>
          <w:rFonts w:cs="Arial"/>
        </w:rPr>
        <w:t>××</w:t>
      </w:r>
      <w:r>
        <w:rPr>
          <w:rFonts w:cs="Arial"/>
        </w:rPr>
        <w:t>年</w:t>
      </w:r>
      <w:r>
        <w:rPr>
          <w:rFonts w:cs="Arial"/>
        </w:rPr>
        <w:t>×</w:t>
      </w:r>
      <w:r>
        <w:rPr>
          <w:rFonts w:cs="Arial"/>
        </w:rPr>
        <w:t>月</w:t>
      </w:r>
      <w:r>
        <w:rPr>
          <w:rFonts w:cs="Arial"/>
        </w:rPr>
        <w:t>×</w:t>
      </w:r>
      <w:r>
        <w:rPr>
          <w:rFonts w:cs="Arial"/>
        </w:rPr>
        <w:t>日</w:t>
      </w:r>
    </w:p>
    <w:p>
      <w:pPr>
        <w:pStyle w:val="Style15"/>
        <w:spacing w:lineRule="exact" w:line="440"/>
        <w:rPr>
          <w:rFonts w:cs="Arial"/>
        </w:rPr>
      </w:pPr>
      <w:r>
        <w:rPr>
          <w:rFonts w:cs="Arial"/>
        </w:rPr>
      </w:r>
    </w:p>
    <w:p>
      <w:pPr>
        <w:pStyle w:val="Style15"/>
        <w:spacing w:lineRule="exact" w:line="440"/>
        <w:rPr/>
      </w:pPr>
      <w:r>
        <w:rPr>
          <w:rFonts w:cs="Arial"/>
        </w:rPr>
        <w:t>贵公司管理层的意见：</w:t>
      </w:r>
    </w:p>
    <w:p>
      <w:pPr>
        <w:pStyle w:val="Style15"/>
        <w:spacing w:lineRule="exact" w:line="440"/>
        <w:rPr>
          <w:rFonts w:cs="Arial"/>
        </w:rPr>
      </w:pPr>
      <w:r>
        <w:rPr>
          <w:rFonts w:cs="Arial"/>
        </w:rPr>
      </w:r>
    </w:p>
    <w:p>
      <w:pPr>
        <w:pStyle w:val="Style15"/>
        <w:spacing w:lineRule="exact" w:line="440"/>
        <w:rPr>
          <w:rFonts w:cs="Arial"/>
        </w:rPr>
      </w:pPr>
      <w:r>
        <w:rPr>
          <w:rFonts w:cs="宋体;SimSun"/>
          <w:u w:val="single"/>
        </w:rPr>
        <w:t xml:space="preserve">                                                                     </w:t>
      </w:r>
    </w:p>
    <w:p>
      <w:pPr>
        <w:pStyle w:val="Style15"/>
        <w:spacing w:lineRule="exact" w:line="440"/>
        <w:rPr>
          <w:rFonts w:cs="Arial"/>
          <w:u w:val="single"/>
        </w:rPr>
      </w:pPr>
      <w:r>
        <w:rPr>
          <w:rFonts w:cs="Arial"/>
          <w:u w:val="single"/>
        </w:rPr>
      </w:r>
    </w:p>
    <w:p>
      <w:pPr>
        <w:pStyle w:val="Style15"/>
        <w:spacing w:lineRule="exact" w:line="440"/>
        <w:rPr>
          <w:rFonts w:cs="Arial"/>
        </w:rPr>
      </w:pPr>
      <w:r>
        <w:rPr>
          <w:rFonts w:cs="宋体;SimSun"/>
          <w:u w:val="single"/>
        </w:rPr>
        <w:t xml:space="preserve">                                                                     </w:t>
      </w:r>
    </w:p>
    <w:p>
      <w:pPr>
        <w:pStyle w:val="Style15"/>
        <w:spacing w:lineRule="exact" w:line="440"/>
        <w:rPr>
          <w:rFonts w:cs="Arial"/>
          <w:u w:val="single"/>
        </w:rPr>
      </w:pPr>
      <w:r>
        <w:rPr>
          <w:rFonts w:cs="Arial"/>
          <w:u w:val="single"/>
        </w:rPr>
      </w:r>
    </w:p>
    <w:p>
      <w:pPr>
        <w:pStyle w:val="Style15"/>
        <w:spacing w:lineRule="exact" w:line="440"/>
        <w:rPr>
          <w:rFonts w:cs="Arial"/>
        </w:rPr>
      </w:pPr>
      <w:r>
        <w:rPr>
          <w:rFonts w:cs="Arial"/>
        </w:rPr>
        <w:t>结论：</w:t>
      </w:r>
    </w:p>
    <w:p>
      <w:pPr>
        <w:pStyle w:val="Style15"/>
        <w:spacing w:lineRule="exact" w:line="440"/>
        <w:rPr>
          <w:rFonts w:cs="Arial"/>
        </w:rPr>
      </w:pPr>
      <w:r>
        <w:rPr>
          <w:rFonts w:cs="Arial"/>
        </w:rPr>
        <w:t>是否同意上述本所就独立性问题所作的声明以及就上述重大事项所作的说明</w:t>
      </w:r>
    </w:p>
    <w:p>
      <w:pPr>
        <w:pStyle w:val="Style15"/>
        <w:spacing w:lineRule="exact" w:line="440"/>
        <w:rPr>
          <w:rFonts w:cs="Arial"/>
        </w:rPr>
      </w:pPr>
      <w:r>
        <w:rPr>
          <w:rFonts w:cs="Arial"/>
        </w:rPr>
      </w:r>
    </w:p>
    <w:p>
      <w:pPr>
        <w:pStyle w:val="Style15"/>
        <w:spacing w:lineRule="exact" w:line="440"/>
        <w:rPr>
          <w:rFonts w:cs="Arial"/>
        </w:rPr>
      </w:pPr>
      <w:r>
        <w:rPr>
          <w:rFonts w:cs="宋体;SimSun"/>
          <w:u w:val="single"/>
        </w:rPr>
        <w:t xml:space="preserve">                                                                     </w:t>
      </w:r>
    </w:p>
    <w:p>
      <w:pPr>
        <w:pStyle w:val="Style15"/>
        <w:spacing w:lineRule="exact" w:line="440"/>
        <w:rPr>
          <w:rFonts w:cs="Arial"/>
          <w:u w:val="single"/>
        </w:rPr>
      </w:pPr>
      <w:r>
        <w:rPr>
          <w:rFonts w:cs="Arial"/>
          <w:u w:val="single"/>
        </w:rPr>
      </w:r>
    </w:p>
    <w:p>
      <w:pPr>
        <w:pStyle w:val="Style15"/>
        <w:spacing w:lineRule="exact" w:line="440"/>
        <w:rPr>
          <w:rFonts w:cs="Arial"/>
        </w:rPr>
      </w:pPr>
      <w:r>
        <w:rPr>
          <w:rFonts w:cs="宋体;SimSun"/>
          <w:u w:val="single"/>
        </w:rPr>
        <w:t xml:space="preserve">                                                                     </w:t>
      </w:r>
    </w:p>
    <w:p>
      <w:pPr>
        <w:pStyle w:val="Style15"/>
        <w:spacing w:lineRule="exact" w:line="440"/>
        <w:rPr>
          <w:rFonts w:cs="Arial"/>
          <w:u w:val="single"/>
        </w:rPr>
      </w:pPr>
      <w:r>
        <w:rPr>
          <w:rFonts w:cs="Arial"/>
          <w:u w:val="single"/>
        </w:rPr>
      </w:r>
    </w:p>
    <w:p>
      <w:pPr>
        <w:pStyle w:val="Style15"/>
        <w:spacing w:lineRule="exact" w:line="440"/>
        <w:rPr>
          <w:rFonts w:cs="Arial"/>
        </w:rPr>
      </w:pPr>
      <w:r>
        <w:rPr>
          <w:rFonts w:cs="Arial"/>
        </w:rPr>
        <w:t>相关成员签字：</w:t>
      </w:r>
    </w:p>
    <w:p>
      <w:pPr>
        <w:pStyle w:val="Style15"/>
        <w:spacing w:lineRule="auto" w:line="360"/>
        <w:rPr>
          <w:rFonts w:cs="Arial"/>
        </w:rPr>
      </w:pPr>
      <w:bookmarkStart w:id="0" w:name="_1283885760"/>
      <w:bookmarkStart w:id="1" w:name="_1283885574"/>
      <w:bookmarkEnd w:id="0"/>
      <w:bookmarkEnd w:id="1"/>
      <w:r>
        <w:rPr>
          <w:rFonts w:cs="Arial"/>
        </w:rPr>
        <w:object>
          <v:shape id="ole_rId2" style="width:357.5pt;height:119.75pt" o:ole="">
            <v:imagedata r:id="rId3" o:title=""/>
          </v:shape>
          <o:OLEObject Type="Embed" ProgID="Excel.Sheet.12" ShapeID="ole_rId2" DrawAspect="Content" ObjectID="_598783761" r:id="rId2"/>
        </w:object>
      </w:r>
    </w:p>
    <w:p>
      <w:pPr>
        <w:pStyle w:val="Style15"/>
        <w:spacing w:lineRule="auto" w:line="360"/>
        <w:rPr>
          <w:rFonts w:cs="Arial"/>
        </w:rPr>
      </w:pPr>
      <w:r>
        <w:rPr>
          <w:rFonts w:cs="Arial"/>
        </w:rPr>
      </w:r>
    </w:p>
    <w:sectPr>
      <w:headerReference w:type="default" r:id="rId4"/>
      <w:footerReference w:type="default" r:id="rId5"/>
      <w:type w:val="nextPage"/>
      <w:pgSz w:w="11906" w:h="16838"/>
      <w:pgMar w:left="1786" w:right="1786" w:header="851" w:top="1503" w:footer="1186"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宋体">
    <w:altName w:val="SimSun"/>
    <w:charset w:val="86"/>
    <w:family w:val="auto"/>
    <w:pitch w:val="variable"/>
  </w:font>
  <w:font w:name="Liberation Sans">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67" w:leader="none"/>
        <w:tab w:val="right" w:pos="8334" w:leader="none"/>
      </w:tabs>
      <w:rPr/>
    </w:pPr>
    <w:r>
      <w:rPr>
        <w:rFonts w:cs="Arial" w:ascii="Arial" w:hAnsi="Arial"/>
      </w:rPr>
      <w:t>201</w:t>
    </w:r>
    <w:r>
      <w:rPr>
        <w:rFonts w:cs="Arial" w:ascii="Arial" w:hAnsi="Arial"/>
      </w:rPr>
      <w:t>7</w:t>
    </w:r>
    <w:r>
      <w:rPr>
        <w:rFonts w:cs="Arial" w:ascii="Arial" w:hAnsi="Arial"/>
      </w:rPr>
      <w:t>.8</w:t>
      <w:tab/>
    </w:r>
    <w:r>
      <w:rPr>
        <w:rFonts w:cs="Arial" w:ascii="Arial" w:hAnsi="Arial"/>
      </w:rPr>
      <w:fldChar w:fldCharType="begin"/>
    </w:r>
    <w:r>
      <w:instrText> PAGE </w:instrText>
    </w:r>
    <w:r>
      <w:fldChar w:fldCharType="separate"/>
    </w:r>
    <w:r>
      <w:t>5</w:t>
    </w:r>
    <w:r>
      <w:fldChar w:fldCharType="end"/>
    </w:r>
    <w:r>
      <w:rPr>
        <w:rFonts w:cs="Arial" w:ascii="Arial" w:hAnsi="Arial"/>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rFonts w:ascii="Calibri" w:hAnsi="Calibri" w:cs="Calibri"/>
        <w:sz w:val="21"/>
        <w:szCs w:val="22"/>
        <w:lang w:val="en-US" w:eastAsia="en-US"/>
      </w:rPr>
    </w:pPr>
    <w:r>
      <w:rPr>
        <w:rFonts w:cs="Calibri" w:ascii="Calibri" w:hAnsi="Calibri"/>
        <w:sz w:val="21"/>
        <w:szCs w:val="22"/>
        <w:lang w:val="en-US" w:eastAsia="en-US"/>
      </w:rPr>
      <w:drawing>
        <wp:inline distT="0" distB="0" distL="0" distR="0">
          <wp:extent cx="1790065" cy="2279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790065" cy="2279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86"/>
        </w:tabs>
        <w:ind w:left="786" w:hanging="360"/>
      </w:pPr>
      <w:rPr>
        <w:rFonts w:cs="宋体;SimSun"/>
      </w:rPr>
    </w:lvl>
    <w:lvl w:ilvl="1">
      <w:start w:val="1"/>
      <w:numFmt w:val="lowerLetter"/>
      <w:lvlText w:val="%2)"/>
      <w:lvlJc w:val="left"/>
      <w:pPr>
        <w:tabs>
          <w:tab w:val="num" w:pos="1740"/>
        </w:tabs>
        <w:ind w:left="1740" w:hanging="420"/>
      </w:pPr>
      <w:rPr/>
    </w:lvl>
    <w:lvl w:ilvl="2">
      <w:start w:val="1"/>
      <w:numFmt w:val="lowerRoman"/>
      <w:lvlText w:val="%3."/>
      <w:lvlJc w:val="right"/>
      <w:pPr>
        <w:tabs>
          <w:tab w:val="num" w:pos="2160"/>
        </w:tabs>
        <w:ind w:left="2160" w:hanging="420"/>
      </w:pPr>
      <w:rPr/>
    </w:lvl>
    <w:lvl w:ilvl="3">
      <w:start w:val="1"/>
      <w:numFmt w:val="decimal"/>
      <w:lvlText w:val="%4."/>
      <w:lvlJc w:val="left"/>
      <w:pPr>
        <w:tabs>
          <w:tab w:val="num" w:pos="2580"/>
        </w:tabs>
        <w:ind w:left="2580" w:hanging="420"/>
      </w:pPr>
      <w:rPr/>
    </w:lvl>
    <w:lvl w:ilvl="4">
      <w:start w:val="1"/>
      <w:numFmt w:val="lowerLetter"/>
      <w:lvlText w:val="%5)"/>
      <w:lvlJc w:val="left"/>
      <w:pPr>
        <w:tabs>
          <w:tab w:val="num" w:pos="3000"/>
        </w:tabs>
        <w:ind w:left="3000" w:hanging="420"/>
      </w:pPr>
      <w:rPr/>
    </w:lvl>
    <w:lvl w:ilvl="5">
      <w:start w:val="1"/>
      <w:numFmt w:val="lowerRoman"/>
      <w:lvlText w:val="%6."/>
      <w:lvlJc w:val="right"/>
      <w:pPr>
        <w:tabs>
          <w:tab w:val="num" w:pos="3420"/>
        </w:tabs>
        <w:ind w:left="3420" w:hanging="420"/>
      </w:pPr>
      <w:rPr/>
    </w:lvl>
    <w:lvl w:ilvl="6">
      <w:start w:val="1"/>
      <w:numFmt w:val="decimal"/>
      <w:lvlText w:val="%7."/>
      <w:lvlJc w:val="left"/>
      <w:pPr>
        <w:tabs>
          <w:tab w:val="num" w:pos="3840"/>
        </w:tabs>
        <w:ind w:left="3840" w:hanging="420"/>
      </w:pPr>
      <w:rPr/>
    </w:lvl>
    <w:lvl w:ilvl="7">
      <w:start w:val="1"/>
      <w:numFmt w:val="lowerLetter"/>
      <w:lvlText w:val="%8)"/>
      <w:lvlJc w:val="left"/>
      <w:pPr>
        <w:tabs>
          <w:tab w:val="num" w:pos="4260"/>
        </w:tabs>
        <w:ind w:left="4260" w:hanging="420"/>
      </w:pPr>
      <w:rPr/>
    </w:lvl>
    <w:lvl w:ilvl="8">
      <w:start w:val="1"/>
      <w:numFmt w:val="lowerRoman"/>
      <w:lvlText w:val="%9."/>
      <w:lvlJc w:val="right"/>
      <w:pPr>
        <w:tabs>
          <w:tab w:val="num" w:pos="4680"/>
        </w:tabs>
        <w:ind w:left="4680" w:hanging="420"/>
      </w:pPr>
      <w:rPr/>
    </w:lvl>
  </w:abstractNum>
  <w:abstractNum w:abstractNumId="3">
    <w:lvl w:ilvl="0">
      <w:start w:val="1"/>
      <w:numFmt w:val="decimal"/>
      <w:lvlText w:val="%1、"/>
      <w:lvlJc w:val="left"/>
      <w:pPr>
        <w:ind w:left="1200" w:hanging="720"/>
      </w:pPr>
      <w:rPr/>
    </w:lvl>
    <w:lvl w:ilvl="1">
      <w:start w:val="2"/>
      <w:numFmt w:val="decimal"/>
      <w:lvlText w:val="【%2、"/>
      <w:lvlJc w:val="left"/>
      <w:pPr>
        <w:ind w:left="1620" w:hanging="720"/>
      </w:pPr>
      <w:rPr/>
    </w:lvl>
    <w:lvl w:ilvl="2">
      <w:start w:val="1"/>
      <w:numFmt w:val="lowerRoman"/>
      <w:lvlText w:val="%3."/>
      <w:lvlJc w:val="right"/>
      <w:pPr>
        <w:ind w:left="1740" w:hanging="420"/>
      </w:pPr>
      <w:rPr/>
    </w:lvl>
    <w:lvl w:ilvl="3">
      <w:start w:val="1"/>
      <w:numFmt w:val="decimal"/>
      <w:lvlText w:val="%4."/>
      <w:lvlJc w:val="left"/>
      <w:pPr>
        <w:ind w:left="2160" w:hanging="420"/>
      </w:pPr>
      <w:rPr/>
    </w:lvl>
    <w:lvl w:ilvl="4">
      <w:start w:val="1"/>
      <w:numFmt w:val="lowerLetter"/>
      <w:lvlText w:val="%5)"/>
      <w:lvlJc w:val="left"/>
      <w:pPr>
        <w:ind w:left="2580" w:hanging="420"/>
      </w:pPr>
      <w:rPr/>
    </w:lvl>
    <w:lvl w:ilvl="5">
      <w:start w:val="1"/>
      <w:numFmt w:val="lowerRoman"/>
      <w:lvlText w:val="%6."/>
      <w:lvlJc w:val="right"/>
      <w:pPr>
        <w:ind w:left="3000" w:hanging="420"/>
      </w:pPr>
      <w:rPr/>
    </w:lvl>
    <w:lvl w:ilvl="6">
      <w:start w:val="1"/>
      <w:numFmt w:val="decimal"/>
      <w:lvlText w:val="%7."/>
      <w:lvlJc w:val="left"/>
      <w:pPr>
        <w:ind w:left="3420" w:hanging="420"/>
      </w:pPr>
      <w:rPr/>
    </w:lvl>
    <w:lvl w:ilvl="7">
      <w:start w:val="1"/>
      <w:numFmt w:val="lowerLetter"/>
      <w:lvlText w:val="%8)"/>
      <w:lvlJc w:val="left"/>
      <w:pPr>
        <w:ind w:left="3840" w:hanging="420"/>
      </w:pPr>
      <w:rPr/>
    </w:lvl>
    <w:lvl w:ilvl="8">
      <w:start w:val="1"/>
      <w:numFmt w:val="lowerRoman"/>
      <w:lvlText w:val="%9."/>
      <w:lvlJc w:val="right"/>
      <w:pPr>
        <w:ind w:left="4260" w:hanging="420"/>
      </w:pPr>
      <w:rPr/>
    </w:lvl>
  </w:abstractNum>
  <w:abstractNum w:abstractNumId="4">
    <w:lvl w:ilvl="0">
      <w:start w:val="2"/>
      <w:numFmt w:val="decimal"/>
      <w:lvlText w:val="（%1）"/>
      <w:lvlJc w:val="left"/>
      <w:pPr>
        <w:ind w:left="1200" w:hanging="72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paragraph" w:styleId="Heading2">
    <w:name w:val="Heading 2"/>
    <w:basedOn w:val="Normal"/>
    <w:next w:val="Normal"/>
    <w:qFormat/>
    <w:pPr>
      <w:keepNext/>
      <w:keepLines/>
      <w:numPr>
        <w:ilvl w:val="1"/>
        <w:numId w:val="1"/>
      </w:numPr>
      <w:spacing w:lineRule="auto" w:line="412" w:before="260" w:after="260"/>
      <w:outlineLvl w:val="1"/>
      <w:outlineLvl w:val="1"/>
    </w:pPr>
    <w:rPr>
      <w:rFonts w:ascii="Cambria" w:hAnsi="Cambria" w:eastAsia="宋体;SimSun" w:cs="Times New Roman"/>
      <w:b/>
      <w:bCs/>
      <w:sz w:val="32"/>
      <w:szCs w:val="32"/>
    </w:rPr>
  </w:style>
  <w:style w:type="character" w:styleId="WW8Num1z0">
    <w:name w:val="WW8Num1z0"/>
    <w:qFormat/>
    <w:rPr>
      <w:rFonts w:cs="Courier New"/>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宋体;SimSu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Style13">
    <w:name w:val="默认段落字体"/>
    <w:qFormat/>
    <w:rPr/>
  </w:style>
  <w:style w:type="character" w:styleId="Char">
    <w:name w:val="文档结构图 Char"/>
    <w:qFormat/>
    <w:rPr>
      <w:rFonts w:ascii="宋体;SimSun" w:hAnsi="宋体;SimSun"/>
      <w:sz w:val="18"/>
      <w:szCs w:val="18"/>
    </w:rPr>
  </w:style>
  <w:style w:type="character" w:styleId="PageNumber">
    <w:name w:val="Page Number"/>
    <w:basedOn w:val="Style13"/>
    <w:rPr/>
  </w:style>
  <w:style w:type="character" w:styleId="2Char">
    <w:name w:val="标题 2 Char"/>
    <w:qFormat/>
    <w:rPr>
      <w:rFonts w:ascii="Cambria" w:hAnsi="Cambria" w:eastAsia="宋体;SimSun" w:cs="Times New Roman"/>
      <w:b/>
      <w:bCs/>
      <w:sz w:val="32"/>
      <w:szCs w:val="32"/>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4">
    <w:name w:val="文档结构图"/>
    <w:basedOn w:val="Normal"/>
    <w:qFormat/>
    <w:pPr/>
    <w:rPr>
      <w:rFonts w:ascii="宋体;SimSun" w:hAnsi="宋体;SimSun"/>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Style15">
    <w:name w:val="纯文本"/>
    <w:basedOn w:val="Normal"/>
    <w:qFormat/>
    <w:pPr/>
    <w:rPr>
      <w:rFonts w:ascii="宋体;SimSun" w:hAnsi="宋体;SimSun" w:cs="Courier New"/>
      <w:szCs w:val="21"/>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2011-07-28T19:31:00Z</dcterms:created>
  <dc:creator>IBM</dc:creator>
  <dc:description/>
  <dc:language>en-US</dc:language>
  <cp:lastModifiedBy>马明明</cp:lastModifiedBy>
  <dcterms:modified xsi:type="dcterms:W3CDTF">2017-11-15T06:17:00Z</dcterms:modified>
  <cp:revision>29</cp:revision>
  <dc:subject/>
  <dc:title>预备会议纪要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