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B7" w:rsidRDefault="000006B7" w:rsidP="000006B7">
      <w:pPr>
        <w:ind w:firstLineChars="0"/>
        <w:jc w:val="center"/>
        <w:rPr>
          <w:b/>
          <w:sz w:val="24"/>
          <w:szCs w:val="24"/>
        </w:rPr>
      </w:pPr>
    </w:p>
    <w:p w:rsidR="006C6FDE" w:rsidRDefault="000006B7" w:rsidP="000006B7">
      <w:pPr>
        <w:ind w:firstLineChars="0"/>
        <w:jc w:val="center"/>
        <w:rPr>
          <w:b/>
          <w:sz w:val="24"/>
          <w:szCs w:val="24"/>
        </w:rPr>
      </w:pPr>
      <w:r w:rsidRPr="000006B7">
        <w:rPr>
          <w:rFonts w:hint="eastAsia"/>
          <w:b/>
          <w:sz w:val="24"/>
          <w:szCs w:val="24"/>
        </w:rPr>
        <w:t>期初余额</w:t>
      </w:r>
    </w:p>
    <w:p w:rsidR="000006B7" w:rsidRDefault="000006B7" w:rsidP="000006B7">
      <w:pPr>
        <w:ind w:firstLineChars="0"/>
        <w:jc w:val="center"/>
        <w:rPr>
          <w:b/>
          <w:sz w:val="24"/>
          <w:szCs w:val="24"/>
        </w:rPr>
      </w:pPr>
    </w:p>
    <w:tbl>
      <w:tblPr>
        <w:tblStyle w:val="a"/>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54"/>
        <w:gridCol w:w="1411"/>
        <w:gridCol w:w="1415"/>
        <w:gridCol w:w="860"/>
        <w:gridCol w:w="1411"/>
      </w:tblGrid>
      <w:tr w:rsidR="000006B7" w:rsidTr="00EC64DB">
        <w:trPr>
          <w:trHeight w:val="457"/>
          <w:jc w:val="center"/>
        </w:trPr>
        <w:tc>
          <w:tcPr>
            <w:tcW w:w="1548" w:type="dxa"/>
            <w:vMerge w:val="restart"/>
            <w:shd w:val="clear" w:color="auto" w:fill="auto"/>
            <w:vAlign w:val="center"/>
          </w:tcPr>
          <w:p w:rsidR="000006B7" w:rsidRDefault="000006B7" w:rsidP="000006B7">
            <w:pPr>
              <w:pStyle w:val="a6"/>
            </w:pPr>
            <w:r w:rsidRPr="00046C73">
              <w:rPr>
                <w:rFonts w:hAnsi="宋体" w:cs="宋体" w:hint="eastAsia"/>
                <w:b/>
              </w:rPr>
              <w:t>被审计单位：</w:t>
            </w:r>
          </w:p>
        </w:tc>
        <w:tc>
          <w:tcPr>
            <w:tcW w:w="1854" w:type="dxa"/>
            <w:vMerge w:val="restart"/>
            <w:shd w:val="clear" w:color="auto" w:fill="auto"/>
            <w:vAlign w:val="center"/>
          </w:tcPr>
          <w:p w:rsidR="000006B7" w:rsidRDefault="000006B7" w:rsidP="00EC64DB">
            <w:pPr>
              <w:pStyle w:val="a6"/>
            </w:pPr>
          </w:p>
        </w:tc>
        <w:tc>
          <w:tcPr>
            <w:tcW w:w="1411" w:type="dxa"/>
            <w:vAlign w:val="center"/>
          </w:tcPr>
          <w:p w:rsidR="000006B7" w:rsidRPr="00046C73" w:rsidRDefault="000006B7" w:rsidP="00EC64DB">
            <w:pPr>
              <w:pStyle w:val="a6"/>
              <w:jc w:val="center"/>
              <w:rPr>
                <w:rFonts w:hAnsi="宋体" w:cs="宋体"/>
                <w:b/>
              </w:rPr>
            </w:pPr>
            <w:r w:rsidRPr="00046C73">
              <w:rPr>
                <w:rFonts w:hAnsi="宋体" w:cs="宋体" w:hint="eastAsia"/>
                <w:b/>
              </w:rPr>
              <w:t>索引号：</w:t>
            </w:r>
          </w:p>
        </w:tc>
        <w:tc>
          <w:tcPr>
            <w:tcW w:w="1415" w:type="dxa"/>
            <w:vAlign w:val="center"/>
          </w:tcPr>
          <w:p w:rsidR="000006B7" w:rsidRPr="00046C73" w:rsidRDefault="000006B7" w:rsidP="00EC64DB">
            <w:pPr>
              <w:pStyle w:val="a6"/>
              <w:jc w:val="center"/>
              <w:rPr>
                <w:rFonts w:hAnsi="宋体" w:cs="宋体"/>
                <w:b/>
              </w:rPr>
            </w:pPr>
            <w:r>
              <w:rPr>
                <w:rFonts w:hAnsi="宋体" w:cs="宋体" w:hint="eastAsia"/>
                <w:b/>
              </w:rPr>
              <w:t>7320</w:t>
            </w:r>
          </w:p>
        </w:tc>
        <w:tc>
          <w:tcPr>
            <w:tcW w:w="860" w:type="dxa"/>
            <w:vAlign w:val="center"/>
          </w:tcPr>
          <w:p w:rsidR="000006B7" w:rsidRPr="00046C73" w:rsidRDefault="000006B7" w:rsidP="00EC64DB">
            <w:pPr>
              <w:pStyle w:val="a6"/>
              <w:jc w:val="center"/>
              <w:rPr>
                <w:rFonts w:hAnsi="宋体" w:cs="宋体"/>
                <w:b/>
              </w:rPr>
            </w:pPr>
            <w:r w:rsidRPr="00046C73">
              <w:rPr>
                <w:rFonts w:hAnsi="宋体" w:cs="宋体" w:hint="eastAsia"/>
                <w:b/>
              </w:rPr>
              <w:t>页次：</w:t>
            </w:r>
          </w:p>
        </w:tc>
        <w:tc>
          <w:tcPr>
            <w:tcW w:w="1411" w:type="dxa"/>
            <w:vAlign w:val="center"/>
          </w:tcPr>
          <w:p w:rsidR="000006B7" w:rsidRDefault="000006B7" w:rsidP="00EC64DB">
            <w:pPr>
              <w:pStyle w:val="a6"/>
              <w:jc w:val="center"/>
            </w:pPr>
          </w:p>
        </w:tc>
      </w:tr>
      <w:tr w:rsidR="000006B7" w:rsidTr="00EC64DB">
        <w:trPr>
          <w:trHeight w:val="462"/>
          <w:jc w:val="center"/>
        </w:trPr>
        <w:tc>
          <w:tcPr>
            <w:tcW w:w="1548" w:type="dxa"/>
            <w:vMerge/>
            <w:shd w:val="clear" w:color="auto" w:fill="auto"/>
          </w:tcPr>
          <w:p w:rsidR="000006B7" w:rsidRDefault="000006B7" w:rsidP="00EC64DB">
            <w:pPr>
              <w:pStyle w:val="a6"/>
              <w:jc w:val="center"/>
            </w:pPr>
          </w:p>
        </w:tc>
        <w:tc>
          <w:tcPr>
            <w:tcW w:w="1854" w:type="dxa"/>
            <w:vMerge/>
            <w:shd w:val="clear" w:color="auto" w:fill="auto"/>
          </w:tcPr>
          <w:p w:rsidR="000006B7" w:rsidRDefault="000006B7" w:rsidP="00EC64DB">
            <w:pPr>
              <w:pStyle w:val="a6"/>
              <w:jc w:val="center"/>
            </w:pPr>
          </w:p>
        </w:tc>
        <w:tc>
          <w:tcPr>
            <w:tcW w:w="1411" w:type="dxa"/>
            <w:vAlign w:val="center"/>
          </w:tcPr>
          <w:p w:rsidR="000006B7" w:rsidRPr="00046C73" w:rsidRDefault="000006B7" w:rsidP="00EC64DB">
            <w:pPr>
              <w:pStyle w:val="a6"/>
              <w:jc w:val="center"/>
              <w:rPr>
                <w:rFonts w:hAnsi="宋体" w:cs="宋体"/>
                <w:b/>
              </w:rPr>
            </w:pPr>
            <w:r w:rsidRPr="00046C73">
              <w:rPr>
                <w:rFonts w:hAnsi="宋体" w:cs="宋体" w:hint="eastAsia"/>
                <w:b/>
              </w:rPr>
              <w:t>编制人：</w:t>
            </w:r>
          </w:p>
        </w:tc>
        <w:tc>
          <w:tcPr>
            <w:tcW w:w="1415" w:type="dxa"/>
            <w:vAlign w:val="center"/>
          </w:tcPr>
          <w:p w:rsidR="000006B7" w:rsidRPr="00046C73" w:rsidRDefault="000006B7" w:rsidP="00EC64DB">
            <w:pPr>
              <w:pStyle w:val="a6"/>
              <w:jc w:val="center"/>
              <w:rPr>
                <w:rFonts w:hAnsi="宋体" w:cs="宋体"/>
                <w:b/>
              </w:rPr>
            </w:pPr>
          </w:p>
        </w:tc>
        <w:tc>
          <w:tcPr>
            <w:tcW w:w="860" w:type="dxa"/>
            <w:vAlign w:val="center"/>
          </w:tcPr>
          <w:p w:rsidR="000006B7" w:rsidRPr="00046C73" w:rsidRDefault="000006B7" w:rsidP="00EC64DB">
            <w:pPr>
              <w:pStyle w:val="a6"/>
              <w:jc w:val="center"/>
              <w:rPr>
                <w:rFonts w:hAnsi="宋体" w:cs="宋体"/>
                <w:b/>
              </w:rPr>
            </w:pPr>
            <w:r w:rsidRPr="00046C73">
              <w:rPr>
                <w:rFonts w:hAnsi="宋体" w:cs="宋体" w:hint="eastAsia"/>
                <w:b/>
              </w:rPr>
              <w:t>日期：</w:t>
            </w:r>
          </w:p>
        </w:tc>
        <w:tc>
          <w:tcPr>
            <w:tcW w:w="1411" w:type="dxa"/>
            <w:vAlign w:val="center"/>
          </w:tcPr>
          <w:p w:rsidR="000006B7" w:rsidRDefault="000006B7" w:rsidP="00EC64DB">
            <w:pPr>
              <w:pStyle w:val="a6"/>
              <w:jc w:val="center"/>
            </w:pPr>
          </w:p>
        </w:tc>
      </w:tr>
      <w:tr w:rsidR="000006B7" w:rsidTr="00EC64DB">
        <w:trPr>
          <w:jc w:val="center"/>
        </w:trPr>
        <w:tc>
          <w:tcPr>
            <w:tcW w:w="1548" w:type="dxa"/>
          </w:tcPr>
          <w:p w:rsidR="000006B7" w:rsidRDefault="000006B7" w:rsidP="00EC64DB">
            <w:pPr>
              <w:pStyle w:val="a6"/>
            </w:pPr>
            <w:r w:rsidRPr="00046C73">
              <w:rPr>
                <w:rFonts w:hAnsi="宋体" w:cs="宋体" w:hint="eastAsia"/>
                <w:b/>
              </w:rPr>
              <w:t>财务报表截止日/期间：</w:t>
            </w:r>
          </w:p>
        </w:tc>
        <w:tc>
          <w:tcPr>
            <w:tcW w:w="1854" w:type="dxa"/>
          </w:tcPr>
          <w:p w:rsidR="000006B7" w:rsidRDefault="000006B7" w:rsidP="00EC64DB">
            <w:pPr>
              <w:pStyle w:val="a6"/>
            </w:pPr>
          </w:p>
        </w:tc>
        <w:tc>
          <w:tcPr>
            <w:tcW w:w="1411" w:type="dxa"/>
            <w:vAlign w:val="center"/>
          </w:tcPr>
          <w:p w:rsidR="000006B7" w:rsidRPr="00046C73" w:rsidRDefault="000006B7" w:rsidP="00EC64DB">
            <w:pPr>
              <w:pStyle w:val="a6"/>
              <w:jc w:val="center"/>
              <w:rPr>
                <w:rFonts w:hAnsi="宋体" w:cs="宋体"/>
                <w:b/>
              </w:rPr>
            </w:pPr>
            <w:r w:rsidRPr="00046C73">
              <w:rPr>
                <w:rFonts w:hAnsi="宋体" w:cs="宋体" w:hint="eastAsia"/>
                <w:b/>
              </w:rPr>
              <w:t>复核人：</w:t>
            </w:r>
          </w:p>
        </w:tc>
        <w:tc>
          <w:tcPr>
            <w:tcW w:w="1415" w:type="dxa"/>
            <w:vAlign w:val="center"/>
          </w:tcPr>
          <w:p w:rsidR="000006B7" w:rsidRPr="00046C73" w:rsidRDefault="000006B7" w:rsidP="00EC64DB">
            <w:pPr>
              <w:pStyle w:val="a6"/>
              <w:jc w:val="center"/>
              <w:rPr>
                <w:rFonts w:hAnsi="宋体" w:cs="宋体"/>
                <w:b/>
              </w:rPr>
            </w:pPr>
          </w:p>
        </w:tc>
        <w:tc>
          <w:tcPr>
            <w:tcW w:w="860" w:type="dxa"/>
            <w:vAlign w:val="center"/>
          </w:tcPr>
          <w:p w:rsidR="000006B7" w:rsidRPr="00046C73" w:rsidRDefault="000006B7" w:rsidP="00EC64DB">
            <w:pPr>
              <w:pStyle w:val="a6"/>
              <w:jc w:val="center"/>
              <w:rPr>
                <w:rFonts w:hAnsi="宋体" w:cs="宋体"/>
                <w:b/>
              </w:rPr>
            </w:pPr>
            <w:r w:rsidRPr="00046C73">
              <w:rPr>
                <w:rFonts w:hAnsi="宋体" w:cs="宋体" w:hint="eastAsia"/>
                <w:b/>
              </w:rPr>
              <w:t>日期：</w:t>
            </w:r>
          </w:p>
        </w:tc>
        <w:tc>
          <w:tcPr>
            <w:tcW w:w="1411" w:type="dxa"/>
            <w:vAlign w:val="center"/>
          </w:tcPr>
          <w:p w:rsidR="000006B7" w:rsidRDefault="000006B7" w:rsidP="00EC64DB">
            <w:pPr>
              <w:pStyle w:val="a6"/>
              <w:jc w:val="center"/>
            </w:pPr>
          </w:p>
        </w:tc>
      </w:tr>
    </w:tbl>
    <w:p w:rsidR="000006B7" w:rsidRDefault="000006B7" w:rsidP="000006B7">
      <w:pPr>
        <w:ind w:firstLineChars="0"/>
        <w:jc w:val="center"/>
        <w:rPr>
          <w:b/>
          <w:sz w:val="24"/>
          <w:szCs w:val="24"/>
        </w:rPr>
      </w:pPr>
    </w:p>
    <w:p w:rsidR="00775C06" w:rsidRDefault="00775C06" w:rsidP="00775C06">
      <w:pPr>
        <w:spacing w:line="440" w:lineRule="exact"/>
        <w:ind w:firstLine="420"/>
        <w:rPr>
          <w:rFonts w:asciiTheme="minorEastAsia" w:eastAsiaTheme="minorEastAsia" w:hAnsiTheme="minorEastAsia"/>
          <w:color w:val="0000FF"/>
          <w:sz w:val="21"/>
          <w:szCs w:val="21"/>
        </w:rPr>
      </w:pPr>
    </w:p>
    <w:p w:rsidR="000006B7" w:rsidRPr="00775C06" w:rsidRDefault="00775C06" w:rsidP="00775C06">
      <w:pPr>
        <w:spacing w:line="440" w:lineRule="exact"/>
        <w:ind w:firstLine="420"/>
        <w:rPr>
          <w:rFonts w:asciiTheme="minorEastAsia" w:eastAsiaTheme="minorEastAsia" w:hAnsiTheme="minorEastAsia"/>
          <w:color w:val="0000FF"/>
          <w:sz w:val="21"/>
          <w:szCs w:val="21"/>
        </w:rPr>
      </w:pPr>
      <w:r w:rsidRPr="00775C06">
        <w:rPr>
          <w:rFonts w:asciiTheme="minorEastAsia" w:eastAsiaTheme="minorEastAsia" w:hAnsiTheme="minorEastAsia" w:hint="eastAsia"/>
          <w:color w:val="0000FF"/>
          <w:sz w:val="21"/>
          <w:szCs w:val="21"/>
        </w:rPr>
        <w:t>编制说明：</w:t>
      </w:r>
    </w:p>
    <w:p w:rsidR="00775C06" w:rsidRPr="00775C06" w:rsidRDefault="00775C06" w:rsidP="00775C06">
      <w:pPr>
        <w:spacing w:line="440" w:lineRule="exact"/>
        <w:ind w:right="6" w:firstLine="420"/>
        <w:rPr>
          <w:rFonts w:asciiTheme="minorEastAsia" w:eastAsiaTheme="minorEastAsia" w:hAnsiTheme="minorEastAsia" w:cs="Arial"/>
          <w:color w:val="0000FF"/>
          <w:sz w:val="21"/>
          <w:szCs w:val="21"/>
        </w:rPr>
      </w:pPr>
      <w:r>
        <w:rPr>
          <w:rFonts w:asciiTheme="minorEastAsia" w:eastAsiaTheme="minorEastAsia" w:hAnsiTheme="minorEastAsia" w:cs="宋体" w:hint="eastAsia"/>
          <w:color w:val="0000FF"/>
          <w:sz w:val="21"/>
          <w:szCs w:val="21"/>
        </w:rPr>
        <w:t>该</w:t>
      </w:r>
      <w:r w:rsidRPr="00775C06">
        <w:rPr>
          <w:rFonts w:asciiTheme="minorEastAsia" w:eastAsiaTheme="minorEastAsia" w:hAnsiTheme="minorEastAsia" w:cs="宋体" w:hint="eastAsia"/>
          <w:color w:val="0000FF"/>
          <w:sz w:val="21"/>
          <w:szCs w:val="21"/>
        </w:rPr>
        <w:t>清单是为了协助我们在开始首次审计业务时确定需要对财务报表期初余额和对比数据所执行的额外审计程序。该清单需要按照个别项目特点酌情修改。并针对相关问题的进一步审计程序相应</w:t>
      </w:r>
      <w:proofErr w:type="gramStart"/>
      <w:r w:rsidRPr="00775C06">
        <w:rPr>
          <w:rFonts w:asciiTheme="minorEastAsia" w:eastAsiaTheme="minorEastAsia" w:hAnsiTheme="minorEastAsia" w:cs="宋体" w:hint="eastAsia"/>
          <w:color w:val="0000FF"/>
          <w:sz w:val="21"/>
          <w:szCs w:val="21"/>
        </w:rPr>
        <w:t>作出</w:t>
      </w:r>
      <w:proofErr w:type="gramEnd"/>
      <w:r w:rsidRPr="00775C06">
        <w:rPr>
          <w:rFonts w:asciiTheme="minorEastAsia" w:eastAsiaTheme="minorEastAsia" w:hAnsiTheme="minorEastAsia" w:cs="宋体" w:hint="eastAsia"/>
          <w:color w:val="0000FF"/>
          <w:sz w:val="21"/>
          <w:szCs w:val="21"/>
        </w:rPr>
        <w:t>修改。</w:t>
      </w:r>
      <w:r w:rsidRPr="00775C06">
        <w:rPr>
          <w:rFonts w:asciiTheme="minorEastAsia" w:eastAsiaTheme="minorEastAsia" w:hAnsiTheme="minorEastAsia" w:cs="Arial" w:hint="eastAsia"/>
          <w:color w:val="0000FF"/>
          <w:sz w:val="21"/>
          <w:szCs w:val="21"/>
        </w:rPr>
        <w:t>当我们确认可以引用前期审计师的工作报告时，我们也可以省略一些程序。</w:t>
      </w:r>
    </w:p>
    <w:p w:rsidR="00775C06" w:rsidRPr="00775C06" w:rsidRDefault="00775C06" w:rsidP="00775C06">
      <w:pPr>
        <w:spacing w:line="440" w:lineRule="exact"/>
        <w:ind w:right="6" w:firstLine="420"/>
        <w:rPr>
          <w:rFonts w:asciiTheme="minorEastAsia" w:eastAsiaTheme="minorEastAsia" w:hAnsiTheme="minorEastAsia" w:cs="Arial"/>
          <w:color w:val="0000FF"/>
          <w:sz w:val="21"/>
          <w:szCs w:val="21"/>
        </w:rPr>
      </w:pPr>
      <w:r w:rsidRPr="00775C06">
        <w:rPr>
          <w:rFonts w:asciiTheme="minorEastAsia" w:eastAsiaTheme="minorEastAsia" w:hAnsiTheme="minorEastAsia" w:cs="Arial" w:hint="eastAsia"/>
          <w:color w:val="0000FF"/>
          <w:sz w:val="21"/>
          <w:szCs w:val="21"/>
        </w:rPr>
        <w:t>该清单是按照</w:t>
      </w:r>
      <w:r w:rsidR="001B5F1E">
        <w:rPr>
          <w:rFonts w:asciiTheme="minorEastAsia" w:eastAsiaTheme="minorEastAsia" w:hAnsiTheme="minorEastAsia" w:cs="Arial" w:hint="eastAsia"/>
          <w:color w:val="0000FF"/>
          <w:sz w:val="21"/>
          <w:szCs w:val="21"/>
        </w:rPr>
        <w:t>瑞华</w:t>
      </w:r>
      <w:r w:rsidRPr="00F74FDC">
        <w:rPr>
          <w:rFonts w:asciiTheme="minorEastAsia" w:eastAsiaTheme="minorEastAsia" w:hAnsiTheme="minorEastAsia" w:cs="Arial" w:hint="eastAsia"/>
          <w:color w:val="FF0000"/>
          <w:sz w:val="21"/>
          <w:szCs w:val="21"/>
        </w:rPr>
        <w:t>审计方法和指引J30</w:t>
      </w:r>
      <w:r w:rsidRPr="00775C06">
        <w:rPr>
          <w:rFonts w:asciiTheme="minorEastAsia" w:eastAsiaTheme="minorEastAsia" w:hAnsiTheme="minorEastAsia" w:cs="Arial" w:hint="eastAsia"/>
          <w:color w:val="0000FF"/>
          <w:sz w:val="21"/>
          <w:szCs w:val="21"/>
        </w:rPr>
        <w:t>来开展审计项目为前提所编制的。</w:t>
      </w:r>
    </w:p>
    <w:p w:rsidR="00775C06" w:rsidRDefault="00775C06" w:rsidP="00775C06">
      <w:pPr>
        <w:spacing w:line="440" w:lineRule="exact"/>
        <w:ind w:firstLine="420"/>
        <w:rPr>
          <w:rFonts w:asciiTheme="minorEastAsia" w:eastAsiaTheme="minorEastAsia" w:hAnsiTheme="minorEastAsia" w:cs="宋体"/>
          <w:color w:val="0000FF"/>
          <w:sz w:val="21"/>
          <w:szCs w:val="21"/>
        </w:rPr>
      </w:pPr>
      <w:r w:rsidRPr="00775C06">
        <w:rPr>
          <w:rFonts w:asciiTheme="minorEastAsia" w:eastAsiaTheme="minorEastAsia" w:hAnsiTheme="minorEastAsia" w:cs="宋体" w:hint="eastAsia"/>
          <w:color w:val="0000FF"/>
          <w:sz w:val="21"/>
          <w:szCs w:val="21"/>
        </w:rPr>
        <w:t>该</w:t>
      </w:r>
      <w:r w:rsidRPr="00775C06">
        <w:rPr>
          <w:rFonts w:asciiTheme="minorEastAsia" w:eastAsiaTheme="minorEastAsia" w:hAnsiTheme="minorEastAsia" w:cs="MS Mincho" w:hint="eastAsia"/>
          <w:color w:val="0000FF"/>
          <w:sz w:val="21"/>
          <w:szCs w:val="21"/>
        </w:rPr>
        <w:t>清</w:t>
      </w:r>
      <w:r w:rsidRPr="00775C06">
        <w:rPr>
          <w:rFonts w:asciiTheme="minorEastAsia" w:eastAsiaTheme="minorEastAsia" w:hAnsiTheme="minorEastAsia" w:cs="宋体" w:hint="eastAsia"/>
          <w:color w:val="0000FF"/>
          <w:sz w:val="21"/>
          <w:szCs w:val="21"/>
        </w:rPr>
        <w:t>单假设</w:t>
      </w:r>
      <w:r w:rsidRPr="00775C06">
        <w:rPr>
          <w:rFonts w:asciiTheme="minorEastAsia" w:eastAsiaTheme="minorEastAsia" w:hAnsiTheme="minorEastAsia" w:cs="MS Mincho" w:hint="eastAsia"/>
          <w:color w:val="0000FF"/>
          <w:sz w:val="21"/>
          <w:szCs w:val="21"/>
        </w:rPr>
        <w:t>期初余额已结转至当期</w:t>
      </w:r>
      <w:r w:rsidRPr="00775C06">
        <w:rPr>
          <w:rFonts w:asciiTheme="minorEastAsia" w:eastAsiaTheme="minorEastAsia" w:hAnsiTheme="minorEastAsia" w:cs="宋体" w:hint="eastAsia"/>
          <w:color w:val="0000FF"/>
          <w:sz w:val="21"/>
          <w:szCs w:val="21"/>
        </w:rPr>
        <w:t>经营</w:t>
      </w:r>
      <w:r w:rsidRPr="00775C06">
        <w:rPr>
          <w:rFonts w:asciiTheme="minorEastAsia" w:eastAsiaTheme="minorEastAsia" w:hAnsiTheme="minorEastAsia" w:cs="MS Mincho" w:hint="eastAsia"/>
          <w:color w:val="0000FF"/>
          <w:sz w:val="21"/>
          <w:szCs w:val="21"/>
        </w:rPr>
        <w:t>成果，因此审计小组对报表期初余额是有责任的。如果我</w:t>
      </w:r>
      <w:r w:rsidRPr="00775C06">
        <w:rPr>
          <w:rFonts w:asciiTheme="minorEastAsia" w:eastAsiaTheme="minorEastAsia" w:hAnsiTheme="minorEastAsia" w:cs="宋体" w:hint="eastAsia"/>
          <w:color w:val="0000FF"/>
          <w:sz w:val="21"/>
          <w:szCs w:val="21"/>
        </w:rPr>
        <w:t>们审计</w:t>
      </w:r>
      <w:r w:rsidRPr="00775C06">
        <w:rPr>
          <w:rFonts w:asciiTheme="minorEastAsia" w:eastAsiaTheme="minorEastAsia" w:hAnsiTheme="minorEastAsia" w:cs="MS Mincho" w:hint="eastAsia"/>
          <w:color w:val="0000FF"/>
          <w:sz w:val="21"/>
          <w:szCs w:val="21"/>
        </w:rPr>
        <w:t>多个会</w:t>
      </w:r>
      <w:r w:rsidRPr="00775C06">
        <w:rPr>
          <w:rFonts w:asciiTheme="minorEastAsia" w:eastAsiaTheme="minorEastAsia" w:hAnsiTheme="minorEastAsia" w:cs="宋体" w:hint="eastAsia"/>
          <w:color w:val="0000FF"/>
          <w:sz w:val="21"/>
          <w:szCs w:val="21"/>
        </w:rPr>
        <w:t>计</w:t>
      </w:r>
      <w:r w:rsidRPr="00775C06">
        <w:rPr>
          <w:rFonts w:asciiTheme="minorEastAsia" w:eastAsiaTheme="minorEastAsia" w:hAnsiTheme="minorEastAsia" w:cs="MS Mincho" w:hint="eastAsia"/>
          <w:color w:val="0000FF"/>
          <w:sz w:val="21"/>
          <w:szCs w:val="21"/>
        </w:rPr>
        <w:t>期</w:t>
      </w:r>
      <w:r w:rsidRPr="00775C06">
        <w:rPr>
          <w:rFonts w:asciiTheme="minorEastAsia" w:eastAsiaTheme="minorEastAsia" w:hAnsiTheme="minorEastAsia" w:cs="宋体" w:hint="eastAsia"/>
          <w:color w:val="0000FF"/>
          <w:sz w:val="21"/>
          <w:szCs w:val="21"/>
        </w:rPr>
        <w:t>间的财务数据</w:t>
      </w:r>
      <w:r w:rsidRPr="00775C06">
        <w:rPr>
          <w:rFonts w:asciiTheme="minorEastAsia" w:eastAsiaTheme="minorEastAsia" w:hAnsiTheme="minorEastAsia" w:cs="MS Mincho" w:hint="eastAsia"/>
          <w:color w:val="0000FF"/>
          <w:sz w:val="21"/>
          <w:szCs w:val="21"/>
        </w:rPr>
        <w:t>，我</w:t>
      </w:r>
      <w:r w:rsidRPr="00775C06">
        <w:rPr>
          <w:rFonts w:asciiTheme="minorEastAsia" w:eastAsiaTheme="minorEastAsia" w:hAnsiTheme="minorEastAsia" w:cs="宋体" w:hint="eastAsia"/>
          <w:color w:val="0000FF"/>
          <w:sz w:val="21"/>
          <w:szCs w:val="21"/>
        </w:rPr>
        <w:t>们对</w:t>
      </w:r>
      <w:r w:rsidRPr="00775C06">
        <w:rPr>
          <w:rFonts w:asciiTheme="minorEastAsia" w:eastAsiaTheme="minorEastAsia" w:hAnsiTheme="minorEastAsia" w:cs="MS Mincho" w:hint="eastAsia"/>
          <w:color w:val="0000FF"/>
          <w:sz w:val="21"/>
          <w:szCs w:val="21"/>
        </w:rPr>
        <w:t>第一个会</w:t>
      </w:r>
      <w:r w:rsidRPr="00775C06">
        <w:rPr>
          <w:rFonts w:asciiTheme="minorEastAsia" w:eastAsiaTheme="minorEastAsia" w:hAnsiTheme="minorEastAsia" w:cs="宋体" w:hint="eastAsia"/>
          <w:color w:val="0000FF"/>
          <w:sz w:val="21"/>
          <w:szCs w:val="21"/>
        </w:rPr>
        <w:t>计</w:t>
      </w:r>
      <w:r w:rsidRPr="00775C06">
        <w:rPr>
          <w:rFonts w:asciiTheme="minorEastAsia" w:eastAsiaTheme="minorEastAsia" w:hAnsiTheme="minorEastAsia" w:cs="MS Mincho" w:hint="eastAsia"/>
          <w:color w:val="0000FF"/>
          <w:sz w:val="21"/>
          <w:szCs w:val="21"/>
        </w:rPr>
        <w:t>期</w:t>
      </w:r>
      <w:r w:rsidRPr="00775C06">
        <w:rPr>
          <w:rFonts w:asciiTheme="minorEastAsia" w:eastAsiaTheme="minorEastAsia" w:hAnsiTheme="minorEastAsia" w:cs="宋体" w:hint="eastAsia"/>
          <w:color w:val="0000FF"/>
          <w:sz w:val="21"/>
          <w:szCs w:val="21"/>
        </w:rPr>
        <w:t>间的期初余额</w:t>
      </w:r>
      <w:r w:rsidR="00B0246B">
        <w:rPr>
          <w:rFonts w:asciiTheme="minorEastAsia" w:eastAsiaTheme="minorEastAsia" w:hAnsiTheme="minorEastAsia" w:cs="MS Mincho" w:hint="eastAsia"/>
          <w:color w:val="0000FF"/>
          <w:sz w:val="21"/>
          <w:szCs w:val="21"/>
        </w:rPr>
        <w:t>执行额外审计程序。项目组不必</w:t>
      </w:r>
      <w:r w:rsidRPr="00775C06">
        <w:rPr>
          <w:rFonts w:asciiTheme="minorEastAsia" w:eastAsiaTheme="minorEastAsia" w:hAnsiTheme="minorEastAsia" w:cs="MS Mincho" w:hint="eastAsia"/>
          <w:color w:val="0000FF"/>
          <w:sz w:val="21"/>
          <w:szCs w:val="21"/>
        </w:rPr>
        <w:t>执行清单中所有审计程序，可根据情况</w:t>
      </w:r>
      <w:r w:rsidRPr="00775C06">
        <w:rPr>
          <w:rFonts w:asciiTheme="minorEastAsia" w:eastAsiaTheme="minorEastAsia" w:hAnsiTheme="minorEastAsia" w:cs="宋体" w:hint="eastAsia"/>
          <w:color w:val="0000FF"/>
          <w:sz w:val="21"/>
          <w:szCs w:val="21"/>
        </w:rPr>
        <w:t>选择适当的审计程序。</w:t>
      </w:r>
    </w:p>
    <w:p w:rsidR="00775C06" w:rsidRDefault="00775C06" w:rsidP="00775C06">
      <w:pPr>
        <w:spacing w:line="440" w:lineRule="exact"/>
        <w:ind w:firstLine="420"/>
        <w:rPr>
          <w:rFonts w:asciiTheme="minorEastAsia" w:eastAsiaTheme="minorEastAsia" w:hAnsiTheme="minorEastAsia" w:cs="宋体"/>
          <w:color w:val="0000FF"/>
          <w:sz w:val="21"/>
          <w:szCs w:val="21"/>
        </w:rPr>
      </w:pPr>
    </w:p>
    <w:p w:rsidR="00775C06" w:rsidRDefault="00775C06" w:rsidP="00775C06">
      <w:pPr>
        <w:widowControl/>
        <w:ind w:firstLine="420"/>
        <w:rPr>
          <w:rFonts w:asciiTheme="minorEastAsia" w:eastAsiaTheme="minorEastAsia" w:hAnsiTheme="minorEastAsia" w:cs="宋体"/>
          <w:color w:val="0000FF"/>
          <w:sz w:val="21"/>
          <w:szCs w:val="21"/>
        </w:rPr>
      </w:pPr>
      <w:r>
        <w:rPr>
          <w:rFonts w:asciiTheme="minorEastAsia" w:eastAsiaTheme="minorEastAsia" w:hAnsiTheme="minorEastAsia" w:cs="宋体"/>
          <w:color w:val="0000FF"/>
          <w:sz w:val="21"/>
          <w:szCs w:val="21"/>
        </w:rPr>
        <w:br w:type="page"/>
      </w:r>
    </w:p>
    <w:p w:rsidR="00775C06" w:rsidRDefault="00775C06" w:rsidP="00775C06">
      <w:pPr>
        <w:widowControl/>
        <w:ind w:firstLine="420"/>
        <w:rPr>
          <w:rFonts w:asciiTheme="minorEastAsia" w:eastAsiaTheme="minorEastAsia" w:hAnsiTheme="minorEastAsia" w:cs="宋体"/>
          <w:color w:val="0000FF"/>
          <w:sz w:val="21"/>
          <w:szCs w:val="21"/>
        </w:rPr>
      </w:pPr>
    </w:p>
    <w:tbl>
      <w:tblPr>
        <w:tblW w:w="8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995"/>
        <w:gridCol w:w="1384"/>
        <w:gridCol w:w="1276"/>
      </w:tblGrid>
      <w:tr w:rsidR="00775C06" w:rsidTr="00CD4D18">
        <w:trPr>
          <w:tblHeader/>
        </w:trPr>
        <w:tc>
          <w:tcPr>
            <w:tcW w:w="675" w:type="dxa"/>
            <w:shd w:val="clear" w:color="auto" w:fill="99CCFF"/>
          </w:tcPr>
          <w:p w:rsidR="00775C06" w:rsidRPr="00775C06" w:rsidRDefault="00775C06" w:rsidP="00775C06">
            <w:pPr>
              <w:spacing w:line="360" w:lineRule="auto"/>
              <w:ind w:firstLineChars="0"/>
              <w:jc w:val="center"/>
              <w:rPr>
                <w:rFonts w:asciiTheme="minorEastAsia" w:eastAsiaTheme="minorEastAsia" w:hAnsiTheme="minorEastAsia"/>
                <w:b/>
                <w:sz w:val="21"/>
                <w:szCs w:val="21"/>
              </w:rPr>
            </w:pPr>
            <w:r w:rsidRPr="00775C06">
              <w:rPr>
                <w:rFonts w:asciiTheme="minorEastAsia" w:eastAsiaTheme="minorEastAsia" w:hAnsiTheme="minorEastAsia" w:hint="eastAsia"/>
                <w:b/>
                <w:sz w:val="21"/>
                <w:szCs w:val="21"/>
              </w:rPr>
              <w:t>序号</w:t>
            </w:r>
          </w:p>
        </w:tc>
        <w:tc>
          <w:tcPr>
            <w:tcW w:w="4995" w:type="dxa"/>
            <w:shd w:val="clear" w:color="auto" w:fill="99CCFF"/>
          </w:tcPr>
          <w:p w:rsidR="00775C06" w:rsidRPr="00775C06" w:rsidRDefault="00775C06" w:rsidP="00775C06">
            <w:pPr>
              <w:spacing w:line="360" w:lineRule="auto"/>
              <w:ind w:firstLineChars="0"/>
              <w:jc w:val="center"/>
              <w:rPr>
                <w:rFonts w:asciiTheme="minorEastAsia" w:eastAsiaTheme="minorEastAsia" w:hAnsiTheme="minorEastAsia"/>
                <w:b/>
                <w:sz w:val="21"/>
                <w:szCs w:val="21"/>
              </w:rPr>
            </w:pPr>
            <w:r w:rsidRPr="00775C06">
              <w:rPr>
                <w:rFonts w:asciiTheme="minorEastAsia" w:eastAsiaTheme="minorEastAsia" w:hAnsiTheme="minorEastAsia" w:hint="eastAsia"/>
                <w:b/>
                <w:sz w:val="21"/>
                <w:szCs w:val="21"/>
              </w:rPr>
              <w:t>首次接受委托对</w:t>
            </w:r>
            <w:r w:rsidRPr="00775C06">
              <w:rPr>
                <w:rFonts w:asciiTheme="minorEastAsia" w:eastAsiaTheme="minorEastAsia" w:hAnsiTheme="minorEastAsia" w:cs="Arial" w:hint="eastAsia"/>
                <w:b/>
                <w:sz w:val="21"/>
                <w:szCs w:val="21"/>
              </w:rPr>
              <w:t>重要科目执行的程序</w:t>
            </w:r>
          </w:p>
        </w:tc>
        <w:tc>
          <w:tcPr>
            <w:tcW w:w="1384" w:type="dxa"/>
            <w:shd w:val="clear" w:color="auto" w:fill="99CCFF"/>
          </w:tcPr>
          <w:p w:rsidR="00775C06" w:rsidRPr="00775C06" w:rsidRDefault="00775C06" w:rsidP="00775C06">
            <w:pPr>
              <w:spacing w:line="360" w:lineRule="auto"/>
              <w:ind w:firstLineChars="0"/>
              <w:jc w:val="center"/>
              <w:rPr>
                <w:rFonts w:asciiTheme="minorEastAsia" w:eastAsiaTheme="minorEastAsia" w:hAnsiTheme="minorEastAsia"/>
                <w:b/>
                <w:sz w:val="21"/>
                <w:szCs w:val="21"/>
              </w:rPr>
            </w:pPr>
            <w:r w:rsidRPr="00775C06">
              <w:rPr>
                <w:rFonts w:asciiTheme="minorEastAsia" w:eastAsiaTheme="minorEastAsia" w:hAnsiTheme="minorEastAsia" w:hint="eastAsia"/>
                <w:b/>
                <w:sz w:val="21"/>
                <w:szCs w:val="21"/>
              </w:rPr>
              <w:t>执行人/日期</w:t>
            </w:r>
          </w:p>
        </w:tc>
        <w:tc>
          <w:tcPr>
            <w:tcW w:w="1276" w:type="dxa"/>
            <w:shd w:val="clear" w:color="auto" w:fill="99CCFF"/>
          </w:tcPr>
          <w:p w:rsidR="00775C06" w:rsidRPr="00775C06" w:rsidRDefault="00775C06" w:rsidP="00775C06">
            <w:pPr>
              <w:spacing w:line="360" w:lineRule="auto"/>
              <w:ind w:firstLineChars="0"/>
              <w:jc w:val="center"/>
              <w:rPr>
                <w:rFonts w:asciiTheme="minorEastAsia" w:eastAsiaTheme="minorEastAsia" w:hAnsiTheme="minorEastAsia"/>
                <w:b/>
                <w:sz w:val="21"/>
                <w:szCs w:val="21"/>
              </w:rPr>
            </w:pPr>
            <w:r w:rsidRPr="00775C06">
              <w:rPr>
                <w:rFonts w:asciiTheme="minorEastAsia" w:eastAsiaTheme="minorEastAsia" w:hAnsiTheme="minorEastAsia" w:hint="eastAsia"/>
                <w:b/>
                <w:sz w:val="21"/>
                <w:szCs w:val="21"/>
              </w:rPr>
              <w:t>索引/注释</w:t>
            </w:r>
          </w:p>
        </w:tc>
      </w:tr>
      <w:tr w:rsidR="00775C06" w:rsidTr="00FA4176">
        <w:trPr>
          <w:cantSplit/>
          <w:tblHeader/>
        </w:trPr>
        <w:tc>
          <w:tcPr>
            <w:tcW w:w="675" w:type="dxa"/>
          </w:tcPr>
          <w:p w:rsidR="00775C06" w:rsidRPr="00775C06" w:rsidRDefault="00775C06"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4995" w:type="dxa"/>
          </w:tcPr>
          <w:p w:rsidR="00775C06" w:rsidRPr="00775C06" w:rsidRDefault="00775C06" w:rsidP="00A76342">
            <w:pPr>
              <w:pStyle w:val="GSAGHeading3"/>
              <w:spacing w:before="0" w:after="0" w:line="276" w:lineRule="auto"/>
              <w:ind w:right="6"/>
              <w:rPr>
                <w:rFonts w:eastAsiaTheme="minorEastAsia" w:cs="Arial"/>
                <w:i/>
                <w:sz w:val="21"/>
                <w:szCs w:val="21"/>
                <w:lang w:val="en-US" w:eastAsia="zh-CN"/>
              </w:rPr>
            </w:pPr>
            <w:r w:rsidRPr="00775C06">
              <w:rPr>
                <w:rFonts w:eastAsiaTheme="minorEastAsia" w:cs="Arial" w:hint="eastAsia"/>
                <w:sz w:val="21"/>
                <w:szCs w:val="21"/>
                <w:lang w:val="en-US" w:eastAsia="zh-CN"/>
              </w:rPr>
              <w:t>银行存款</w:t>
            </w:r>
          </w:p>
          <w:p w:rsidR="00775C06" w:rsidRPr="00775C06" w:rsidRDefault="00775C06" w:rsidP="00A76342">
            <w:pPr>
              <w:pStyle w:val="GSAGParagraph"/>
              <w:spacing w:before="0" w:line="276" w:lineRule="auto"/>
              <w:ind w:right="6"/>
              <w:rPr>
                <w:rFonts w:ascii="Arial" w:eastAsiaTheme="minorEastAsia" w:hAnsi="Arial" w:cs="Arial"/>
                <w:sz w:val="21"/>
                <w:szCs w:val="21"/>
                <w:lang w:val="en-US" w:eastAsia="zh-CN"/>
              </w:rPr>
            </w:pPr>
            <w:r w:rsidRPr="00775C06">
              <w:rPr>
                <w:rFonts w:ascii="Arial" w:eastAsiaTheme="minorEastAsia" w:hAnsi="Arial" w:cs="Arial" w:hint="eastAsia"/>
                <w:sz w:val="21"/>
                <w:szCs w:val="21"/>
                <w:lang w:val="en-US" w:eastAsia="zh-CN"/>
              </w:rPr>
              <w:t>在审计银行存款期初余额时所考虑的程序有：</w:t>
            </w:r>
          </w:p>
          <w:p w:rsidR="00775C06" w:rsidRPr="00775C06" w:rsidRDefault="00775C06"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775C06">
              <w:rPr>
                <w:rFonts w:ascii="Calibri" w:hAnsi="Calibri" w:hint="eastAsia"/>
                <w:sz w:val="21"/>
                <w:szCs w:val="21"/>
              </w:rPr>
              <w:t>获取现金余额的汇总明细表</w:t>
            </w:r>
            <w:r w:rsidRPr="00775C06">
              <w:rPr>
                <w:rFonts w:hint="eastAsia"/>
                <w:sz w:val="21"/>
                <w:szCs w:val="21"/>
              </w:rPr>
              <w:t>及概要</w:t>
            </w:r>
            <w:r w:rsidRPr="00775C06">
              <w:rPr>
                <w:rFonts w:asciiTheme="minorEastAsia" w:eastAsiaTheme="minorEastAsia" w:hAnsiTheme="minorEastAsia" w:hint="eastAsia"/>
                <w:sz w:val="21"/>
                <w:szCs w:val="21"/>
              </w:rPr>
              <w:t>说</w:t>
            </w:r>
            <w:r w:rsidRPr="00775C06">
              <w:rPr>
                <w:rFonts w:hint="eastAsia"/>
                <w:sz w:val="21"/>
                <w:szCs w:val="21"/>
              </w:rPr>
              <w:t>明</w:t>
            </w:r>
            <w:r w:rsidRPr="00775C06">
              <w:rPr>
                <w:rFonts w:ascii="Calibri" w:hAnsi="Calibri" w:hint="eastAsia"/>
                <w:sz w:val="21"/>
                <w:szCs w:val="21"/>
              </w:rPr>
              <w:t>；</w:t>
            </w:r>
          </w:p>
          <w:p w:rsidR="00775C06" w:rsidRPr="00775C06" w:rsidRDefault="00775C06"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775C06">
              <w:rPr>
                <w:rFonts w:ascii="Calibri" w:hAnsi="Calibri" w:hint="eastAsia"/>
                <w:sz w:val="21"/>
                <w:szCs w:val="21"/>
              </w:rPr>
              <w:t>检查被审计单位的银行对账单；核实大额未达账项；核对每一个余额调节表与日记账和银行的报表；</w:t>
            </w:r>
          </w:p>
          <w:p w:rsidR="00775C06" w:rsidRPr="00775C06" w:rsidRDefault="00775C06"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775C06">
              <w:rPr>
                <w:rFonts w:ascii="Calibri" w:hAnsi="Calibri" w:hint="eastAsia"/>
                <w:sz w:val="21"/>
                <w:szCs w:val="21"/>
              </w:rPr>
              <w:t>如果银行余额具有重大影响，考虑需要对期</w:t>
            </w:r>
            <w:proofErr w:type="gramStart"/>
            <w:r w:rsidRPr="00775C06">
              <w:rPr>
                <w:rFonts w:ascii="Calibri" w:hAnsi="Calibri" w:hint="eastAsia"/>
                <w:sz w:val="21"/>
                <w:szCs w:val="21"/>
              </w:rPr>
              <w:t>初银行</w:t>
            </w:r>
            <w:proofErr w:type="gramEnd"/>
            <w:r w:rsidRPr="00775C06">
              <w:rPr>
                <w:rFonts w:ascii="Calibri" w:hAnsi="Calibri" w:hint="eastAsia"/>
                <w:sz w:val="21"/>
                <w:szCs w:val="21"/>
              </w:rPr>
              <w:t>余额执行</w:t>
            </w:r>
            <w:proofErr w:type="gramStart"/>
            <w:r w:rsidRPr="00775C06">
              <w:rPr>
                <w:rFonts w:ascii="Calibri" w:hAnsi="Calibri" w:hint="eastAsia"/>
                <w:sz w:val="21"/>
                <w:szCs w:val="21"/>
              </w:rPr>
              <w:t>询</w:t>
            </w:r>
            <w:proofErr w:type="gramEnd"/>
            <w:r w:rsidRPr="00775C06">
              <w:rPr>
                <w:rFonts w:ascii="Calibri" w:hAnsi="Calibri" w:hint="eastAsia"/>
                <w:sz w:val="21"/>
                <w:szCs w:val="21"/>
              </w:rPr>
              <w:t>证程序；</w:t>
            </w:r>
          </w:p>
          <w:p w:rsidR="00775C06" w:rsidRPr="00775C06" w:rsidRDefault="00775C06" w:rsidP="00A76342">
            <w:pPr>
              <w:numPr>
                <w:ilvl w:val="0"/>
                <w:numId w:val="1"/>
              </w:numPr>
              <w:autoSpaceDE w:val="0"/>
              <w:autoSpaceDN w:val="0"/>
              <w:adjustRightInd w:val="0"/>
              <w:spacing w:line="276" w:lineRule="auto"/>
              <w:ind w:left="188" w:right="-68" w:firstLineChars="0" w:hanging="142"/>
              <w:rPr>
                <w:rFonts w:asciiTheme="minorEastAsia" w:eastAsiaTheme="minorEastAsia" w:hAnsiTheme="minorEastAsia"/>
                <w:sz w:val="21"/>
                <w:szCs w:val="21"/>
              </w:rPr>
            </w:pPr>
            <w:r w:rsidRPr="00775C06">
              <w:rPr>
                <w:rFonts w:ascii="Calibri" w:hAnsi="Calibri" w:hint="eastAsia"/>
                <w:sz w:val="21"/>
                <w:szCs w:val="21"/>
              </w:rPr>
              <w:t>对现金收入、支付和转账进行截止性测试。</w:t>
            </w:r>
          </w:p>
        </w:tc>
        <w:tc>
          <w:tcPr>
            <w:tcW w:w="1384" w:type="dxa"/>
          </w:tcPr>
          <w:p w:rsidR="00775C06" w:rsidRPr="00775C06" w:rsidRDefault="00775C06" w:rsidP="00A76342">
            <w:pPr>
              <w:spacing w:line="276" w:lineRule="auto"/>
              <w:ind w:firstLineChars="0"/>
              <w:rPr>
                <w:rFonts w:asciiTheme="minorEastAsia" w:eastAsiaTheme="minorEastAsia" w:hAnsiTheme="minorEastAsia"/>
                <w:sz w:val="21"/>
                <w:szCs w:val="21"/>
              </w:rPr>
            </w:pPr>
          </w:p>
        </w:tc>
        <w:tc>
          <w:tcPr>
            <w:tcW w:w="1276" w:type="dxa"/>
          </w:tcPr>
          <w:p w:rsidR="00775C06" w:rsidRPr="00775C06" w:rsidRDefault="00775C06" w:rsidP="00A76342">
            <w:pPr>
              <w:spacing w:line="276" w:lineRule="auto"/>
              <w:ind w:firstLineChars="0"/>
              <w:rPr>
                <w:rFonts w:asciiTheme="minorEastAsia" w:eastAsiaTheme="minorEastAsia" w:hAnsiTheme="minorEastAsia"/>
                <w:sz w:val="21"/>
                <w:szCs w:val="21"/>
              </w:rPr>
            </w:pPr>
          </w:p>
        </w:tc>
      </w:tr>
      <w:tr w:rsidR="00775C06" w:rsidTr="00FA4176">
        <w:trPr>
          <w:cantSplit/>
          <w:trHeight w:val="5300"/>
          <w:tblHeader/>
        </w:trPr>
        <w:tc>
          <w:tcPr>
            <w:tcW w:w="675" w:type="dxa"/>
          </w:tcPr>
          <w:p w:rsidR="00775C06" w:rsidRPr="00775C06" w:rsidRDefault="00775C06"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995" w:type="dxa"/>
          </w:tcPr>
          <w:p w:rsidR="00B0246B" w:rsidRPr="00B0246B" w:rsidRDefault="00B0246B" w:rsidP="00A76342">
            <w:pPr>
              <w:pStyle w:val="GSAGHeading3"/>
              <w:spacing w:before="0" w:after="0" w:line="276" w:lineRule="auto"/>
              <w:ind w:right="6"/>
              <w:rPr>
                <w:rFonts w:eastAsiaTheme="minorEastAsia" w:cs="Arial"/>
                <w:sz w:val="21"/>
                <w:szCs w:val="21"/>
                <w:lang w:val="en-US" w:eastAsia="zh-CN"/>
              </w:rPr>
            </w:pPr>
            <w:r w:rsidRPr="00B0246B">
              <w:rPr>
                <w:rFonts w:eastAsiaTheme="minorEastAsia" w:cs="Arial" w:hint="eastAsia"/>
                <w:sz w:val="21"/>
                <w:szCs w:val="21"/>
                <w:lang w:val="en-US" w:eastAsia="zh-CN"/>
              </w:rPr>
              <w:t>有价证券</w:t>
            </w:r>
          </w:p>
          <w:p w:rsidR="009424A4" w:rsidRPr="00B0246B" w:rsidRDefault="00B0246B" w:rsidP="00A76342">
            <w:pPr>
              <w:pStyle w:val="GSAGHeading3"/>
              <w:spacing w:before="0" w:after="0" w:line="276" w:lineRule="auto"/>
              <w:ind w:right="6"/>
              <w:rPr>
                <w:rFonts w:eastAsiaTheme="minorEastAsia" w:cs="Arial"/>
                <w:b w:val="0"/>
                <w:sz w:val="21"/>
                <w:szCs w:val="21"/>
                <w:lang w:val="en-US" w:eastAsia="zh-CN"/>
              </w:rPr>
            </w:pPr>
            <w:r w:rsidRPr="00B0246B">
              <w:rPr>
                <w:rFonts w:eastAsiaTheme="minorEastAsia" w:cs="Arial" w:hint="eastAsia"/>
                <w:b w:val="0"/>
                <w:sz w:val="21"/>
                <w:szCs w:val="21"/>
                <w:lang w:val="en-US" w:eastAsia="zh-CN"/>
              </w:rPr>
              <w:t>针对期初余额中的有价证券考虑执行如下程序：</w:t>
            </w:r>
          </w:p>
          <w:p w:rsidR="00B0246B" w:rsidRPr="00B0246B" w:rsidRDefault="00B0246B"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B0246B">
              <w:rPr>
                <w:rFonts w:ascii="Calibri" w:hAnsi="Calibri" w:hint="eastAsia"/>
                <w:sz w:val="21"/>
                <w:szCs w:val="21"/>
              </w:rPr>
              <w:t>获取在期初余额中被审计单位所有的有价证券的明细表和概要说明；</w:t>
            </w:r>
          </w:p>
          <w:p w:rsidR="00B0246B" w:rsidRPr="00B0246B" w:rsidRDefault="00B0246B"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B0246B">
              <w:rPr>
                <w:rFonts w:ascii="Calibri" w:hAnsi="Calibri" w:hint="eastAsia"/>
                <w:sz w:val="21"/>
                <w:szCs w:val="21"/>
              </w:rPr>
              <w:t>确定按照适用的财务报表准则的要求，权益性的有价证券价值进行了估值，相关的收益和损失都已进行记录；</w:t>
            </w:r>
          </w:p>
          <w:p w:rsidR="00B0246B" w:rsidRPr="00B0246B" w:rsidRDefault="00B0246B"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B0246B">
              <w:rPr>
                <w:rFonts w:ascii="Calibri" w:hAnsi="Calibri" w:hint="eastAsia"/>
                <w:sz w:val="21"/>
                <w:szCs w:val="21"/>
              </w:rPr>
              <w:t>对期初余额</w:t>
            </w:r>
            <w:proofErr w:type="gramStart"/>
            <w:r w:rsidRPr="00B0246B">
              <w:rPr>
                <w:rFonts w:ascii="Calibri" w:hAnsi="Calibri" w:hint="eastAsia"/>
                <w:sz w:val="21"/>
                <w:szCs w:val="21"/>
              </w:rPr>
              <w:t>中证券</w:t>
            </w:r>
            <w:proofErr w:type="gramEnd"/>
            <w:r w:rsidRPr="00B0246B">
              <w:rPr>
                <w:rFonts w:ascii="Calibri" w:hAnsi="Calibri" w:hint="eastAsia"/>
                <w:sz w:val="21"/>
                <w:szCs w:val="21"/>
              </w:rPr>
              <w:t>的市价和成本进行测试；</w:t>
            </w:r>
          </w:p>
          <w:p w:rsidR="00B0246B" w:rsidRPr="00B0246B" w:rsidRDefault="00B0246B"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B0246B">
              <w:rPr>
                <w:rFonts w:ascii="Calibri" w:hAnsi="Calibri" w:hint="eastAsia"/>
                <w:sz w:val="21"/>
                <w:szCs w:val="21"/>
              </w:rPr>
              <w:t>向证券的托管方进行</w:t>
            </w:r>
            <w:proofErr w:type="gramStart"/>
            <w:r w:rsidRPr="00B0246B">
              <w:rPr>
                <w:rFonts w:ascii="Calibri" w:hAnsi="Calibri" w:hint="eastAsia"/>
                <w:sz w:val="21"/>
                <w:szCs w:val="21"/>
              </w:rPr>
              <w:t>询</w:t>
            </w:r>
            <w:proofErr w:type="gramEnd"/>
            <w:r w:rsidRPr="00B0246B">
              <w:rPr>
                <w:rFonts w:ascii="Calibri" w:hAnsi="Calibri" w:hint="eastAsia"/>
                <w:sz w:val="21"/>
                <w:szCs w:val="21"/>
              </w:rPr>
              <w:t>证，获取证券的存在和所有权方面的认定；</w:t>
            </w:r>
          </w:p>
          <w:p w:rsidR="00B0246B" w:rsidRDefault="00B0246B"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B0246B">
              <w:rPr>
                <w:rFonts w:ascii="Calibri" w:hAnsi="Calibri" w:hint="eastAsia"/>
                <w:sz w:val="21"/>
                <w:szCs w:val="21"/>
              </w:rPr>
              <w:t>确定期初余额中有价证券的利息或股息记录的时间正确。</w:t>
            </w:r>
          </w:p>
          <w:p w:rsidR="00B0246B" w:rsidRPr="00B0246B" w:rsidRDefault="00B0246B" w:rsidP="00A76342">
            <w:pPr>
              <w:autoSpaceDE w:val="0"/>
              <w:autoSpaceDN w:val="0"/>
              <w:adjustRightInd w:val="0"/>
              <w:spacing w:line="276" w:lineRule="auto"/>
              <w:ind w:left="188" w:right="-68" w:firstLineChars="0"/>
              <w:rPr>
                <w:rFonts w:ascii="Calibri" w:hAnsi="Calibri"/>
                <w:sz w:val="21"/>
                <w:szCs w:val="21"/>
              </w:rPr>
            </w:pPr>
          </w:p>
          <w:p w:rsidR="00775C06" w:rsidRPr="00B0246B" w:rsidRDefault="00B0246B" w:rsidP="00A76342">
            <w:pPr>
              <w:pStyle w:val="GSAGHeading3"/>
              <w:spacing w:before="0" w:after="0" w:line="276" w:lineRule="auto"/>
              <w:ind w:right="6"/>
              <w:rPr>
                <w:rFonts w:asciiTheme="minorEastAsia" w:eastAsiaTheme="minorEastAsia" w:hAnsiTheme="minorEastAsia"/>
                <w:sz w:val="21"/>
                <w:szCs w:val="21"/>
                <w:lang w:val="en-US"/>
              </w:rPr>
            </w:pPr>
            <w:r w:rsidRPr="00B0246B">
              <w:rPr>
                <w:rFonts w:eastAsiaTheme="minorEastAsia" w:cs="Arial" w:hint="eastAsia"/>
                <w:b w:val="0"/>
                <w:sz w:val="21"/>
                <w:szCs w:val="21"/>
                <w:lang w:val="en-US" w:eastAsia="zh-CN"/>
              </w:rPr>
              <w:t>为核实期初余额中有价证券的所有权属，我们应注意他们取得和处置有价证券的日期。已记录的收到的利息和股利的信息也提供了有价证券在期初余额中所有权属的证据。</w:t>
            </w:r>
          </w:p>
        </w:tc>
        <w:tc>
          <w:tcPr>
            <w:tcW w:w="1384" w:type="dxa"/>
          </w:tcPr>
          <w:p w:rsidR="00775C06" w:rsidRPr="00775C06" w:rsidRDefault="00775C06" w:rsidP="00A76342">
            <w:pPr>
              <w:spacing w:line="276" w:lineRule="auto"/>
              <w:ind w:firstLineChars="0"/>
              <w:rPr>
                <w:rFonts w:asciiTheme="minorEastAsia" w:eastAsiaTheme="minorEastAsia" w:hAnsiTheme="minorEastAsia"/>
                <w:sz w:val="21"/>
                <w:szCs w:val="21"/>
              </w:rPr>
            </w:pPr>
          </w:p>
        </w:tc>
        <w:tc>
          <w:tcPr>
            <w:tcW w:w="1276" w:type="dxa"/>
          </w:tcPr>
          <w:p w:rsidR="00775C06" w:rsidRPr="00775C06" w:rsidRDefault="00775C06" w:rsidP="00A76342">
            <w:pPr>
              <w:spacing w:line="276" w:lineRule="auto"/>
              <w:ind w:firstLineChars="0"/>
              <w:rPr>
                <w:rFonts w:asciiTheme="minorEastAsia" w:eastAsiaTheme="minorEastAsia" w:hAnsiTheme="minorEastAsia"/>
                <w:sz w:val="21"/>
                <w:szCs w:val="21"/>
              </w:rPr>
            </w:pPr>
          </w:p>
        </w:tc>
      </w:tr>
      <w:tr w:rsidR="009424A4" w:rsidTr="00FA4176">
        <w:trPr>
          <w:cantSplit/>
          <w:tblHeader/>
        </w:trPr>
        <w:tc>
          <w:tcPr>
            <w:tcW w:w="675" w:type="dxa"/>
          </w:tcPr>
          <w:p w:rsidR="009424A4" w:rsidRPr="00775C06" w:rsidRDefault="009424A4"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3</w:t>
            </w:r>
          </w:p>
        </w:tc>
        <w:tc>
          <w:tcPr>
            <w:tcW w:w="4995" w:type="dxa"/>
          </w:tcPr>
          <w:p w:rsidR="009424A4" w:rsidRPr="009424A4" w:rsidRDefault="009424A4" w:rsidP="00A76342">
            <w:pPr>
              <w:pStyle w:val="GSAGHeading3"/>
              <w:spacing w:before="0" w:after="0" w:line="276" w:lineRule="auto"/>
              <w:ind w:right="6"/>
              <w:rPr>
                <w:rFonts w:eastAsiaTheme="minorEastAsia" w:cs="Arial"/>
                <w:sz w:val="21"/>
                <w:szCs w:val="21"/>
                <w:lang w:val="en-US" w:eastAsia="zh-CN"/>
              </w:rPr>
            </w:pPr>
            <w:r w:rsidRPr="009424A4">
              <w:rPr>
                <w:rFonts w:eastAsiaTheme="minorEastAsia" w:cs="Arial" w:hint="eastAsia"/>
                <w:sz w:val="21"/>
                <w:szCs w:val="21"/>
                <w:lang w:val="en-US" w:eastAsia="zh-CN"/>
              </w:rPr>
              <w:t>应收款项</w:t>
            </w:r>
          </w:p>
          <w:p w:rsidR="009424A4" w:rsidRPr="009424A4" w:rsidRDefault="009424A4" w:rsidP="00A76342">
            <w:pPr>
              <w:pStyle w:val="GSAGHeading3"/>
              <w:spacing w:before="0" w:after="0" w:line="276" w:lineRule="auto"/>
              <w:ind w:right="6"/>
              <w:rPr>
                <w:rFonts w:eastAsiaTheme="minorEastAsia" w:cs="Arial"/>
                <w:b w:val="0"/>
                <w:sz w:val="21"/>
                <w:szCs w:val="21"/>
                <w:lang w:val="en-US" w:eastAsia="zh-CN"/>
              </w:rPr>
            </w:pPr>
            <w:r w:rsidRPr="009424A4">
              <w:rPr>
                <w:rFonts w:eastAsiaTheme="minorEastAsia" w:cs="Arial" w:hint="eastAsia"/>
                <w:b w:val="0"/>
                <w:sz w:val="21"/>
                <w:szCs w:val="21"/>
                <w:lang w:val="en-US" w:eastAsia="zh-CN"/>
              </w:rPr>
              <w:t>针对期初余额中的应收款项考虑执行如下程序：</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检查账龄长的应收款项；追查账</w:t>
            </w:r>
            <w:proofErr w:type="gramStart"/>
            <w:r w:rsidRPr="009424A4">
              <w:rPr>
                <w:rFonts w:ascii="Calibri" w:hAnsi="Calibri" w:hint="eastAsia"/>
                <w:sz w:val="21"/>
                <w:szCs w:val="21"/>
              </w:rPr>
              <w:t>龄</w:t>
            </w:r>
            <w:proofErr w:type="gramEnd"/>
            <w:r w:rsidRPr="009424A4">
              <w:rPr>
                <w:rFonts w:ascii="Calibri" w:hAnsi="Calibri" w:hint="eastAsia"/>
                <w:sz w:val="21"/>
                <w:szCs w:val="21"/>
              </w:rPr>
              <w:t>分析明细表到按客户记录的分类账，追查账</w:t>
            </w:r>
            <w:proofErr w:type="gramStart"/>
            <w:r w:rsidRPr="009424A4">
              <w:rPr>
                <w:rFonts w:ascii="Calibri" w:hAnsi="Calibri" w:hint="eastAsia"/>
                <w:sz w:val="21"/>
                <w:szCs w:val="21"/>
              </w:rPr>
              <w:t>龄</w:t>
            </w:r>
            <w:proofErr w:type="gramEnd"/>
            <w:r w:rsidRPr="009424A4">
              <w:rPr>
                <w:rFonts w:ascii="Calibri" w:hAnsi="Calibri" w:hint="eastAsia"/>
                <w:sz w:val="21"/>
                <w:szCs w:val="21"/>
              </w:rPr>
              <w:t>分析汇总表到总分类账；</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获取应收票据的明细表和概要说明；核查不正常的项目；追查明细表到应收票据分类账和总分类账；</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检查资产负债表日后应收款项的收回；</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比较年初前和年初后一个月的销售，以评估期间截止的合理性；</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选择期初前后的刚发货的一些发票和货运单据以核实其所进行的销售截止是符合要求的；</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通过参考账龄、期后收回情况和</w:t>
            </w:r>
            <w:proofErr w:type="gramStart"/>
            <w:r w:rsidRPr="009424A4">
              <w:rPr>
                <w:rFonts w:ascii="Calibri" w:hAnsi="Calibri" w:hint="eastAsia"/>
                <w:sz w:val="21"/>
                <w:szCs w:val="21"/>
              </w:rPr>
              <w:t>期后</w:t>
            </w:r>
            <w:proofErr w:type="gramEnd"/>
            <w:r w:rsidRPr="009424A4">
              <w:rPr>
                <w:rFonts w:ascii="Calibri" w:hAnsi="Calibri" w:hint="eastAsia"/>
                <w:sz w:val="21"/>
                <w:szCs w:val="21"/>
              </w:rPr>
              <w:t>针对</w:t>
            </w:r>
            <w:proofErr w:type="gramStart"/>
            <w:r w:rsidRPr="009424A4">
              <w:rPr>
                <w:rFonts w:ascii="Calibri" w:hAnsi="Calibri" w:hint="eastAsia"/>
                <w:sz w:val="21"/>
                <w:szCs w:val="21"/>
              </w:rPr>
              <w:t>对</w:t>
            </w:r>
            <w:proofErr w:type="gramEnd"/>
            <w:r w:rsidRPr="009424A4">
              <w:rPr>
                <w:rFonts w:ascii="Calibri" w:hAnsi="Calibri" w:hint="eastAsia"/>
                <w:sz w:val="21"/>
                <w:szCs w:val="21"/>
              </w:rPr>
              <w:t>应收款项的期初余额金额调整，核实对于无法收回的应收款项的坏账准备计提是否足够；</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检查收到</w:t>
            </w:r>
            <w:proofErr w:type="gramStart"/>
            <w:r w:rsidRPr="009424A4">
              <w:rPr>
                <w:rFonts w:ascii="Calibri" w:hAnsi="Calibri" w:hint="eastAsia"/>
                <w:sz w:val="21"/>
                <w:szCs w:val="21"/>
              </w:rPr>
              <w:t>的贷项通知单</w:t>
            </w:r>
            <w:proofErr w:type="gramEnd"/>
            <w:r w:rsidRPr="009424A4">
              <w:rPr>
                <w:rFonts w:ascii="Calibri" w:hAnsi="Calibri" w:hint="eastAsia"/>
                <w:sz w:val="21"/>
                <w:szCs w:val="21"/>
              </w:rPr>
              <w:t>，如与折价损失、销售退回和质量保证等类似的事项相关调整已记录到期初前后合理的期间；</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确认期</w:t>
            </w:r>
            <w:proofErr w:type="gramStart"/>
            <w:r w:rsidRPr="009424A4">
              <w:rPr>
                <w:rFonts w:ascii="Calibri" w:hAnsi="Calibri" w:hint="eastAsia"/>
                <w:sz w:val="21"/>
                <w:szCs w:val="21"/>
              </w:rPr>
              <w:t>初之前</w:t>
            </w:r>
            <w:proofErr w:type="gramEnd"/>
            <w:r w:rsidRPr="009424A4">
              <w:rPr>
                <w:rFonts w:ascii="Calibri" w:hAnsi="Calibri" w:hint="eastAsia"/>
                <w:sz w:val="21"/>
                <w:szCs w:val="21"/>
              </w:rPr>
              <w:t>的应计利息已经记录在正确的期间；</w:t>
            </w:r>
          </w:p>
          <w:p w:rsidR="009424A4" w:rsidRPr="00080ACA" w:rsidRDefault="009424A4" w:rsidP="00A76342">
            <w:pPr>
              <w:numPr>
                <w:ilvl w:val="0"/>
                <w:numId w:val="1"/>
              </w:numPr>
              <w:autoSpaceDE w:val="0"/>
              <w:autoSpaceDN w:val="0"/>
              <w:adjustRightInd w:val="0"/>
              <w:spacing w:line="276" w:lineRule="auto"/>
              <w:ind w:left="188" w:right="-68" w:firstLineChars="0" w:hanging="142"/>
              <w:rPr>
                <w:rFonts w:ascii="Arial" w:hAnsi="Arial" w:cs="Arial"/>
                <w:sz w:val="18"/>
                <w:szCs w:val="18"/>
              </w:rPr>
            </w:pPr>
            <w:r w:rsidRPr="009424A4">
              <w:rPr>
                <w:rFonts w:ascii="Calibri" w:hAnsi="Calibri" w:hint="eastAsia"/>
                <w:sz w:val="21"/>
                <w:szCs w:val="21"/>
              </w:rPr>
              <w:t>检查不正常的与工作人员、董事、股东和关联</w:t>
            </w:r>
            <w:proofErr w:type="gramStart"/>
            <w:r w:rsidRPr="009424A4">
              <w:rPr>
                <w:rFonts w:ascii="Calibri" w:hAnsi="Calibri" w:hint="eastAsia"/>
                <w:sz w:val="21"/>
                <w:szCs w:val="21"/>
              </w:rPr>
              <w:t>方相关</w:t>
            </w:r>
            <w:proofErr w:type="gramEnd"/>
            <w:r w:rsidRPr="009424A4">
              <w:rPr>
                <w:rFonts w:ascii="Calibri" w:hAnsi="Calibri" w:hint="eastAsia"/>
                <w:sz w:val="21"/>
                <w:szCs w:val="21"/>
              </w:rPr>
              <w:t>的账户，针对发现的问题进行调查。</w:t>
            </w:r>
          </w:p>
        </w:tc>
        <w:tc>
          <w:tcPr>
            <w:tcW w:w="1384" w:type="dxa"/>
          </w:tcPr>
          <w:p w:rsidR="009424A4" w:rsidRPr="00775C06"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775C06" w:rsidRDefault="009424A4" w:rsidP="00A76342">
            <w:pPr>
              <w:spacing w:line="276" w:lineRule="auto"/>
              <w:ind w:firstLineChars="0"/>
              <w:rPr>
                <w:rFonts w:asciiTheme="minorEastAsia" w:eastAsiaTheme="minorEastAsia" w:hAnsiTheme="minorEastAsia"/>
                <w:sz w:val="21"/>
                <w:szCs w:val="21"/>
              </w:rPr>
            </w:pPr>
          </w:p>
        </w:tc>
      </w:tr>
      <w:tr w:rsidR="009424A4" w:rsidTr="00FA4176">
        <w:trPr>
          <w:cantSplit/>
          <w:tblHeader/>
        </w:trPr>
        <w:tc>
          <w:tcPr>
            <w:tcW w:w="675" w:type="dxa"/>
          </w:tcPr>
          <w:p w:rsidR="009424A4" w:rsidRPr="00775C06" w:rsidRDefault="009424A4"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4</w:t>
            </w:r>
          </w:p>
        </w:tc>
        <w:tc>
          <w:tcPr>
            <w:tcW w:w="4995" w:type="dxa"/>
          </w:tcPr>
          <w:p w:rsidR="009424A4" w:rsidRPr="009424A4" w:rsidRDefault="009424A4" w:rsidP="00A76342">
            <w:pPr>
              <w:pStyle w:val="GSAGHeading3"/>
              <w:spacing w:before="0" w:after="0" w:line="276" w:lineRule="auto"/>
              <w:ind w:right="6"/>
              <w:rPr>
                <w:rFonts w:eastAsiaTheme="minorEastAsia" w:cs="Arial"/>
                <w:sz w:val="21"/>
                <w:szCs w:val="21"/>
                <w:lang w:val="en-US" w:eastAsia="zh-CN"/>
              </w:rPr>
            </w:pPr>
            <w:r w:rsidRPr="009424A4">
              <w:rPr>
                <w:rFonts w:eastAsiaTheme="minorEastAsia" w:cs="Arial" w:hint="eastAsia"/>
                <w:sz w:val="21"/>
                <w:szCs w:val="21"/>
                <w:lang w:val="en-US" w:eastAsia="zh-CN"/>
              </w:rPr>
              <w:t>存货</w:t>
            </w:r>
          </w:p>
          <w:p w:rsidR="009424A4" w:rsidRDefault="009424A4" w:rsidP="00A76342">
            <w:pPr>
              <w:pStyle w:val="GSAGHeading3"/>
              <w:spacing w:before="0" w:after="0" w:line="276" w:lineRule="auto"/>
              <w:ind w:right="6" w:firstLineChars="200" w:firstLine="420"/>
              <w:rPr>
                <w:rFonts w:eastAsiaTheme="minorEastAsia" w:cs="Arial"/>
                <w:b w:val="0"/>
                <w:sz w:val="21"/>
                <w:szCs w:val="21"/>
                <w:lang w:val="en-US" w:eastAsia="zh-CN"/>
              </w:rPr>
            </w:pPr>
            <w:r w:rsidRPr="009424A4">
              <w:rPr>
                <w:rFonts w:eastAsiaTheme="minorEastAsia" w:cs="Arial" w:hint="eastAsia"/>
                <w:b w:val="0"/>
                <w:sz w:val="21"/>
                <w:szCs w:val="21"/>
                <w:lang w:val="en-US" w:eastAsia="zh-CN"/>
              </w:rPr>
              <w:t>对期初余额中存货数量取得满意的证据，是我们在审计中常见的难点。</w:t>
            </w:r>
            <w:proofErr w:type="gramStart"/>
            <w:r w:rsidRPr="009424A4">
              <w:rPr>
                <w:rFonts w:eastAsiaTheme="minorEastAsia" w:cs="Arial" w:hint="eastAsia"/>
                <w:b w:val="0"/>
                <w:sz w:val="21"/>
                <w:szCs w:val="21"/>
                <w:lang w:val="en-US" w:eastAsia="zh-CN"/>
              </w:rPr>
              <w:t>对于期</w:t>
            </w:r>
            <w:proofErr w:type="gramEnd"/>
            <w:r w:rsidRPr="009424A4">
              <w:rPr>
                <w:rFonts w:eastAsiaTheme="minorEastAsia" w:cs="Arial" w:hint="eastAsia"/>
                <w:b w:val="0"/>
                <w:sz w:val="21"/>
                <w:szCs w:val="21"/>
                <w:lang w:val="en-US" w:eastAsia="zh-CN"/>
              </w:rPr>
              <w:t>初存货最适当的证据来源通常是我们对前任注册会计师的审计工作底稿进行复核，在缺少这样的证据的情况下，我们需要小心是否我们审计范围受到限制。</w:t>
            </w:r>
          </w:p>
          <w:p w:rsidR="001C14E2" w:rsidRDefault="001C14E2" w:rsidP="00A76342">
            <w:pPr>
              <w:pStyle w:val="GSAGHeading3"/>
              <w:spacing w:before="0" w:after="0" w:line="276" w:lineRule="auto"/>
              <w:ind w:right="6"/>
              <w:rPr>
                <w:rFonts w:eastAsiaTheme="minorEastAsia" w:cs="Arial"/>
                <w:b w:val="0"/>
                <w:sz w:val="21"/>
                <w:szCs w:val="21"/>
                <w:lang w:val="en-US" w:eastAsia="zh-CN"/>
              </w:rPr>
            </w:pPr>
          </w:p>
          <w:p w:rsidR="009424A4" w:rsidRPr="009424A4" w:rsidRDefault="009424A4" w:rsidP="00A76342">
            <w:pPr>
              <w:pStyle w:val="GSAGHeading3"/>
              <w:spacing w:before="0" w:after="0" w:line="276" w:lineRule="auto"/>
              <w:ind w:right="6" w:firstLineChars="200" w:firstLine="420"/>
              <w:rPr>
                <w:rFonts w:eastAsiaTheme="minorEastAsia" w:cs="Arial"/>
                <w:b w:val="0"/>
                <w:sz w:val="21"/>
                <w:szCs w:val="21"/>
                <w:lang w:val="en-US" w:eastAsia="zh-CN"/>
              </w:rPr>
            </w:pPr>
            <w:proofErr w:type="gramStart"/>
            <w:r w:rsidRPr="009424A4">
              <w:rPr>
                <w:rFonts w:eastAsiaTheme="minorEastAsia" w:cs="Arial" w:hint="eastAsia"/>
                <w:b w:val="0"/>
                <w:sz w:val="21"/>
                <w:szCs w:val="21"/>
                <w:lang w:val="en-US" w:eastAsia="zh-CN"/>
              </w:rPr>
              <w:t>基于被</w:t>
            </w:r>
            <w:proofErr w:type="gramEnd"/>
            <w:r w:rsidRPr="009424A4">
              <w:rPr>
                <w:rFonts w:eastAsiaTheme="minorEastAsia" w:cs="Arial" w:hint="eastAsia"/>
                <w:b w:val="0"/>
                <w:sz w:val="21"/>
                <w:szCs w:val="21"/>
                <w:lang w:val="en-US" w:eastAsia="zh-CN"/>
              </w:rPr>
              <w:t>审计单位执行的准则的类型、企业的存货管理和经营模式的复杂程度、其内部控制是否完善和存货性质等因素，对期初余额的审计中可运用的替代程序和追加程序要进行较多的改变。在期初余额审计中，我们应针对每种情况，运用判</w:t>
            </w:r>
            <w:r w:rsidR="001C14E2">
              <w:rPr>
                <w:rFonts w:eastAsiaTheme="minorEastAsia" w:cs="Arial" w:hint="eastAsia"/>
                <w:b w:val="0"/>
                <w:sz w:val="21"/>
                <w:szCs w:val="21"/>
                <w:lang w:val="en-US" w:eastAsia="zh-CN"/>
              </w:rPr>
              <w:t>断以确定对期初存货数量是否获取足够的证据，履行我们应有的职责。</w:t>
            </w:r>
            <w:r w:rsidRPr="009424A4">
              <w:rPr>
                <w:rFonts w:eastAsiaTheme="minorEastAsia" w:cs="Arial" w:hint="eastAsia"/>
                <w:b w:val="0"/>
                <w:sz w:val="21"/>
                <w:szCs w:val="21"/>
                <w:lang w:val="en-US" w:eastAsia="zh-CN"/>
              </w:rPr>
              <w:t>如在以下情况下，我们对期初余额的存货数量负有责任：</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被审计单位在期</w:t>
            </w:r>
            <w:proofErr w:type="gramStart"/>
            <w:r w:rsidRPr="009424A4">
              <w:rPr>
                <w:rFonts w:ascii="Calibri" w:hAnsi="Calibri" w:hint="eastAsia"/>
                <w:sz w:val="21"/>
                <w:szCs w:val="21"/>
              </w:rPr>
              <w:t>初执行</w:t>
            </w:r>
            <w:proofErr w:type="gramEnd"/>
            <w:r w:rsidRPr="009424A4">
              <w:rPr>
                <w:rFonts w:ascii="Calibri" w:hAnsi="Calibri" w:hint="eastAsia"/>
                <w:sz w:val="21"/>
                <w:szCs w:val="21"/>
              </w:rPr>
              <w:t>了一次实地盘存并保存了对于实地盘存的详细记录；</w:t>
            </w:r>
          </w:p>
          <w:p w:rsidR="009424A4" w:rsidRPr="009424A4"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9424A4">
              <w:rPr>
                <w:rFonts w:ascii="Calibri" w:hAnsi="Calibri" w:hint="eastAsia"/>
                <w:sz w:val="21"/>
                <w:szCs w:val="21"/>
              </w:rPr>
              <w:t>被审计单位对存货的永续盘存记录进行维护，并根据定期实物盘点对期初实物数量进行调整，</w:t>
            </w:r>
            <w:r w:rsidRPr="001C14E2">
              <w:rPr>
                <w:rFonts w:ascii="Calibri" w:hAnsi="Calibri" w:hint="eastAsia"/>
                <w:sz w:val="21"/>
                <w:szCs w:val="21"/>
              </w:rPr>
              <w:t>我们在接近财务报表的期末的实质性测试程序证明这些记录的准确性</w:t>
            </w:r>
            <w:r w:rsidRPr="009424A4">
              <w:rPr>
                <w:rFonts w:ascii="Calibri" w:hAnsi="Calibri" w:hint="eastAsia"/>
                <w:sz w:val="21"/>
                <w:szCs w:val="21"/>
              </w:rPr>
              <w:t>。</w:t>
            </w:r>
          </w:p>
          <w:p w:rsidR="009424A4" w:rsidRPr="001C14E2" w:rsidRDefault="009424A4" w:rsidP="00E93269">
            <w:pPr>
              <w:spacing w:beforeLines="50" w:before="156" w:line="276" w:lineRule="auto"/>
              <w:ind w:firstLine="420"/>
              <w:rPr>
                <w:rFonts w:ascii="Arial" w:eastAsiaTheme="minorEastAsia" w:hAnsi="Arial" w:cs="Arial"/>
                <w:kern w:val="0"/>
                <w:sz w:val="21"/>
                <w:szCs w:val="21"/>
              </w:rPr>
            </w:pPr>
            <w:r w:rsidRPr="001C14E2">
              <w:rPr>
                <w:rFonts w:ascii="Arial" w:eastAsiaTheme="minorEastAsia" w:hAnsi="Arial" w:cs="Arial" w:hint="eastAsia"/>
                <w:kern w:val="0"/>
                <w:sz w:val="21"/>
                <w:szCs w:val="21"/>
              </w:rPr>
              <w:t>在这些情况下，除了</w:t>
            </w:r>
            <w:proofErr w:type="gramStart"/>
            <w:r w:rsidRPr="001C14E2">
              <w:rPr>
                <w:rFonts w:ascii="Arial" w:eastAsiaTheme="minorEastAsia" w:hAnsi="Arial" w:cs="Arial" w:hint="eastAsia"/>
                <w:kern w:val="0"/>
                <w:sz w:val="21"/>
                <w:szCs w:val="21"/>
              </w:rPr>
              <w:t>实地监盘程序</w:t>
            </w:r>
            <w:proofErr w:type="gramEnd"/>
            <w:r w:rsidRPr="001C14E2">
              <w:rPr>
                <w:rFonts w:ascii="Arial" w:eastAsiaTheme="minorEastAsia" w:hAnsi="Arial" w:cs="Arial" w:hint="eastAsia"/>
                <w:kern w:val="0"/>
                <w:sz w:val="21"/>
                <w:szCs w:val="21"/>
              </w:rPr>
              <w:t>外，我们对期初存货数量执行的程序与在期末验证存货数量所执行的程序是相同的。此外，由于我们不能在观察期初存货的实地盘点，我们执行替代程序以证实期初存货的数量，例如采用以下程序：</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将本期在验收、生产和发货记录中的存货数量，与之本期期初和期末的存货数量的钩稽关系进行核对；</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将接近期初前后的适当期间的验收、生产和发货记录中的数量与期初存货数量钩稽关系进行核对；</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审核有效的现有的关于成交量、营业额的经营或统计数据作为参考，将相关信息与期初存货数量进行对比，逻辑关系是否正常。</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与对实地存货盘点和存货截止工作中组织和控制全局的负责人进行讨论。</w:t>
            </w:r>
          </w:p>
          <w:p w:rsidR="009424A4" w:rsidRPr="001C14E2" w:rsidRDefault="009424A4" w:rsidP="00E93269">
            <w:pPr>
              <w:spacing w:beforeLines="50" w:before="156" w:line="276" w:lineRule="auto"/>
              <w:ind w:right="23" w:firstLine="420"/>
              <w:rPr>
                <w:rFonts w:ascii="Arial" w:eastAsiaTheme="minorEastAsia" w:hAnsi="Arial" w:cs="Arial"/>
                <w:kern w:val="0"/>
                <w:sz w:val="21"/>
                <w:szCs w:val="21"/>
              </w:rPr>
            </w:pPr>
            <w:r w:rsidRPr="001C14E2">
              <w:rPr>
                <w:rFonts w:ascii="Arial" w:eastAsiaTheme="minorEastAsia" w:hAnsi="Arial" w:cs="Arial" w:hint="eastAsia"/>
                <w:kern w:val="0"/>
                <w:sz w:val="21"/>
                <w:szCs w:val="21"/>
              </w:rPr>
              <w:t>期初与期末在测试存货估价和金额准确性时采用相同的审计程序，我们可以运用在后来发生的事来考虑我们在对期初的审计过程中记录是否为重大事项（例如，后来</w:t>
            </w:r>
            <w:proofErr w:type="gramStart"/>
            <w:r w:rsidRPr="001C14E2">
              <w:rPr>
                <w:rFonts w:ascii="Arial" w:eastAsiaTheme="minorEastAsia" w:hAnsi="Arial" w:cs="Arial" w:hint="eastAsia"/>
                <w:kern w:val="0"/>
                <w:sz w:val="21"/>
                <w:szCs w:val="21"/>
              </w:rPr>
              <w:t>对于期</w:t>
            </w:r>
            <w:proofErr w:type="gramEnd"/>
            <w:r w:rsidRPr="001C14E2">
              <w:rPr>
                <w:rFonts w:ascii="Arial" w:eastAsiaTheme="minorEastAsia" w:hAnsi="Arial" w:cs="Arial" w:hint="eastAsia"/>
                <w:kern w:val="0"/>
                <w:sz w:val="21"/>
                <w:szCs w:val="21"/>
              </w:rPr>
              <w:t>初存货以低于成本的价格的销售，</w:t>
            </w:r>
            <w:proofErr w:type="gramStart"/>
            <w:r w:rsidRPr="001C14E2">
              <w:rPr>
                <w:rFonts w:ascii="Arial" w:eastAsiaTheme="minorEastAsia" w:hAnsi="Arial" w:cs="Arial" w:hint="eastAsia"/>
                <w:kern w:val="0"/>
                <w:sz w:val="21"/>
                <w:szCs w:val="21"/>
              </w:rPr>
              <w:t>对于期</w:t>
            </w:r>
            <w:proofErr w:type="gramEnd"/>
            <w:r w:rsidRPr="001C14E2">
              <w:rPr>
                <w:rFonts w:ascii="Arial" w:eastAsiaTheme="minorEastAsia" w:hAnsi="Arial" w:cs="Arial" w:hint="eastAsia"/>
                <w:kern w:val="0"/>
                <w:sz w:val="21"/>
                <w:szCs w:val="21"/>
              </w:rPr>
              <w:t>初的存货跌价就有合理解释，对于在期初低于市场或成本价格的存货的估价是不恰当的。）我们对期初存货的审计可以采用分析性程序：</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我们可以对若干年的毛利率、存货周转率和存货金额按总额或分产品进行比较，并调查其异常变动的情况。</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检查存货的总额或产品分类中直接材料、人工成本和管理费用，比较产成品和发出存货金额；复核货运费和相关的装卸费。复核毁损记录和报废信息。根据实际生产能力、劳动力规模和存货周转率确定合理的总量。</w:t>
            </w:r>
          </w:p>
          <w:p w:rsidR="009424A4" w:rsidRPr="001C14E2" w:rsidRDefault="009424A4" w:rsidP="00A76342">
            <w:pPr>
              <w:numPr>
                <w:ilvl w:val="0"/>
                <w:numId w:val="1"/>
              </w:numPr>
              <w:autoSpaceDE w:val="0"/>
              <w:autoSpaceDN w:val="0"/>
              <w:adjustRightInd w:val="0"/>
              <w:spacing w:line="276" w:lineRule="auto"/>
              <w:ind w:left="188" w:right="-68" w:firstLineChars="0" w:hanging="142"/>
              <w:rPr>
                <w:rFonts w:ascii="Calibri" w:hAnsi="Calibri"/>
                <w:sz w:val="21"/>
                <w:szCs w:val="21"/>
              </w:rPr>
            </w:pPr>
            <w:r w:rsidRPr="001C14E2">
              <w:rPr>
                <w:rFonts w:ascii="Calibri" w:hAnsi="Calibri" w:hint="eastAsia"/>
                <w:sz w:val="21"/>
                <w:szCs w:val="21"/>
              </w:rPr>
              <w:t>当采用分批成本制时，要对分批发出的产品成本进行分配，将最终完工的实际总成本分配到分批次的产品中。将最终分配的结果与相关发出产品所记录的成本进行比较；复核完工成本中的预估成本和在期末分批产品间分配的计算是否正确。对本期期初的分批发货的成本的核算是否符合规定得出结论。</w:t>
            </w:r>
          </w:p>
          <w:p w:rsidR="009424A4" w:rsidRPr="00080ACA" w:rsidRDefault="009424A4" w:rsidP="00A76342">
            <w:pPr>
              <w:numPr>
                <w:ilvl w:val="0"/>
                <w:numId w:val="1"/>
              </w:numPr>
              <w:autoSpaceDE w:val="0"/>
              <w:autoSpaceDN w:val="0"/>
              <w:adjustRightInd w:val="0"/>
              <w:spacing w:line="276" w:lineRule="auto"/>
              <w:ind w:left="188" w:right="-68" w:firstLineChars="0" w:hanging="142"/>
              <w:rPr>
                <w:rFonts w:ascii="Arial" w:hAnsi="Arial" w:cs="Arial"/>
                <w:sz w:val="18"/>
                <w:szCs w:val="18"/>
              </w:rPr>
            </w:pPr>
            <w:r w:rsidRPr="001C14E2">
              <w:rPr>
                <w:rFonts w:ascii="Calibri" w:hAnsi="Calibri" w:hint="eastAsia"/>
                <w:sz w:val="21"/>
                <w:szCs w:val="21"/>
              </w:rPr>
              <w:t>比较当期和</w:t>
            </w:r>
            <w:proofErr w:type="gramStart"/>
            <w:r w:rsidRPr="001C14E2">
              <w:rPr>
                <w:rFonts w:ascii="Calibri" w:hAnsi="Calibri" w:hint="eastAsia"/>
                <w:sz w:val="21"/>
                <w:szCs w:val="21"/>
              </w:rPr>
              <w:t>期初</w:t>
            </w:r>
            <w:proofErr w:type="gramEnd"/>
            <w:r w:rsidRPr="001C14E2">
              <w:rPr>
                <w:rFonts w:ascii="Calibri" w:hAnsi="Calibri" w:hint="eastAsia"/>
                <w:sz w:val="21"/>
                <w:szCs w:val="21"/>
              </w:rPr>
              <w:t>存货单价和数量。</w:t>
            </w:r>
          </w:p>
        </w:tc>
        <w:tc>
          <w:tcPr>
            <w:tcW w:w="1384" w:type="dxa"/>
          </w:tcPr>
          <w:p w:rsidR="009424A4" w:rsidRPr="00775C06"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775C06" w:rsidRDefault="009424A4" w:rsidP="00A76342">
            <w:pPr>
              <w:spacing w:line="276" w:lineRule="auto"/>
              <w:ind w:firstLineChars="0"/>
              <w:rPr>
                <w:rFonts w:asciiTheme="minorEastAsia" w:eastAsiaTheme="minorEastAsia" w:hAnsiTheme="minorEastAsia"/>
                <w:sz w:val="21"/>
                <w:szCs w:val="21"/>
              </w:rPr>
            </w:pPr>
          </w:p>
        </w:tc>
      </w:tr>
    </w:tbl>
    <w:tbl>
      <w:tblPr>
        <w:tblStyle w:val="a7"/>
        <w:tblW w:w="8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995"/>
        <w:gridCol w:w="1384"/>
        <w:gridCol w:w="1276"/>
      </w:tblGrid>
      <w:tr w:rsidR="009424A4" w:rsidRPr="003D208D" w:rsidTr="00FA4176">
        <w:trPr>
          <w:cantSplit/>
          <w:tblHeader/>
        </w:trPr>
        <w:tc>
          <w:tcPr>
            <w:tcW w:w="675" w:type="dxa"/>
          </w:tcPr>
          <w:p w:rsidR="009424A4" w:rsidRPr="003D208D" w:rsidRDefault="001C14E2" w:rsidP="00A76342">
            <w:pPr>
              <w:spacing w:line="276" w:lineRule="auto"/>
              <w:ind w:firstLineChars="0"/>
              <w:jc w:val="center"/>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lastRenderedPageBreak/>
              <w:t>5</w:t>
            </w:r>
          </w:p>
        </w:tc>
        <w:tc>
          <w:tcPr>
            <w:tcW w:w="4995" w:type="dxa"/>
          </w:tcPr>
          <w:p w:rsidR="009424A4" w:rsidRPr="003D208D" w:rsidRDefault="009424A4" w:rsidP="00A76342">
            <w:pPr>
              <w:spacing w:line="276" w:lineRule="auto"/>
              <w:ind w:right="23" w:firstLineChars="0"/>
              <w:rPr>
                <w:rFonts w:asciiTheme="minorEastAsia" w:eastAsiaTheme="minorEastAsia" w:hAnsiTheme="minorEastAsia" w:cs="Arial"/>
                <w:b/>
                <w:kern w:val="0"/>
                <w:sz w:val="21"/>
                <w:szCs w:val="21"/>
              </w:rPr>
            </w:pPr>
            <w:r w:rsidRPr="003D208D">
              <w:rPr>
                <w:rFonts w:asciiTheme="minorEastAsia" w:eastAsiaTheme="minorEastAsia" w:hAnsiTheme="minorEastAsia" w:cs="Arial" w:hint="eastAsia"/>
                <w:b/>
                <w:kern w:val="0"/>
                <w:sz w:val="21"/>
                <w:szCs w:val="21"/>
              </w:rPr>
              <w:t>投资，包括对联营公司的投资及应收账款的程序</w:t>
            </w:r>
          </w:p>
          <w:p w:rsidR="009424A4" w:rsidRPr="003D208D" w:rsidRDefault="009424A4" w:rsidP="00A76342">
            <w:pPr>
              <w:spacing w:line="276" w:lineRule="auto"/>
              <w:ind w:right="23" w:firstLineChars="0"/>
              <w:rPr>
                <w:rFonts w:asciiTheme="minorEastAsia" w:eastAsiaTheme="minorEastAsia" w:hAnsiTheme="minorEastAsia" w:cs="Arial"/>
                <w:kern w:val="0"/>
                <w:sz w:val="21"/>
                <w:szCs w:val="21"/>
              </w:rPr>
            </w:pPr>
            <w:r w:rsidRPr="003D208D">
              <w:rPr>
                <w:rFonts w:asciiTheme="minorEastAsia" w:eastAsiaTheme="minorEastAsia" w:hAnsiTheme="minorEastAsia" w:cs="Arial" w:hint="eastAsia"/>
                <w:kern w:val="0"/>
                <w:sz w:val="21"/>
                <w:szCs w:val="21"/>
              </w:rPr>
              <w:t>针对期初余额中的投资项目考虑执行如下程序：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获取在期初持有的投资项目的明细和说明（需要说明期初余额中的投资在当期发生了变化的情况）；</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确定在被审计单位记录的投资项目的核算基础，包括取得的投资的性质和是否遵循了适用的财务报表准则；</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确定上期同</w:t>
            </w:r>
            <w:proofErr w:type="gramStart"/>
            <w:r w:rsidRPr="003D208D">
              <w:rPr>
                <w:rFonts w:asciiTheme="minorEastAsia" w:eastAsiaTheme="minorEastAsia" w:hAnsiTheme="minorEastAsia" w:hint="eastAsia"/>
                <w:sz w:val="21"/>
                <w:szCs w:val="21"/>
              </w:rPr>
              <w:t>一控制</w:t>
            </w:r>
            <w:proofErr w:type="gramEnd"/>
            <w:r w:rsidRPr="003D208D">
              <w:rPr>
                <w:rFonts w:asciiTheme="minorEastAsia" w:eastAsiaTheme="minorEastAsia" w:hAnsiTheme="minorEastAsia" w:hint="eastAsia"/>
                <w:sz w:val="21"/>
                <w:szCs w:val="21"/>
              </w:rPr>
              <w:t>下交易的性质、基础和商业目的；了解涉及财产、厂房和机器设备及投资转让的详细情况；确定相关交易的记录遵循了适用的财务报告准则；</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确定投资事项根据适用的财务报告准则进行了恰当的分类；</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参考财务报表或其他有价值的证据审查期</w:t>
            </w:r>
            <w:proofErr w:type="gramStart"/>
            <w:r w:rsidRPr="003D208D">
              <w:rPr>
                <w:rFonts w:asciiTheme="minorEastAsia" w:eastAsiaTheme="minorEastAsia" w:hAnsiTheme="minorEastAsia" w:hint="eastAsia"/>
                <w:sz w:val="21"/>
                <w:szCs w:val="21"/>
              </w:rPr>
              <w:t>初投资</w:t>
            </w:r>
            <w:proofErr w:type="gramEnd"/>
            <w:r w:rsidRPr="003D208D">
              <w:rPr>
                <w:rFonts w:asciiTheme="minorEastAsia" w:eastAsiaTheme="minorEastAsia" w:hAnsiTheme="minorEastAsia" w:hint="eastAsia"/>
                <w:sz w:val="21"/>
                <w:szCs w:val="21"/>
              </w:rPr>
              <w:t>项目的公允价值；</w:t>
            </w:r>
          </w:p>
          <w:p w:rsidR="009424A4"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确认期初的应收利息和应收股息已在正确的日期进行记录。</w:t>
            </w:r>
          </w:p>
          <w:p w:rsidR="00A76342" w:rsidRPr="003D208D" w:rsidRDefault="00A76342" w:rsidP="00A76342">
            <w:pPr>
              <w:autoSpaceDE w:val="0"/>
              <w:autoSpaceDN w:val="0"/>
              <w:adjustRightInd w:val="0"/>
              <w:spacing w:line="276" w:lineRule="auto"/>
              <w:ind w:left="188" w:right="23" w:firstLineChars="0"/>
              <w:rPr>
                <w:rFonts w:asciiTheme="minorEastAsia" w:eastAsiaTheme="minorEastAsia" w:hAnsiTheme="minorEastAsia"/>
                <w:sz w:val="21"/>
                <w:szCs w:val="21"/>
              </w:rPr>
            </w:pPr>
          </w:p>
          <w:p w:rsidR="009424A4" w:rsidRPr="003D208D" w:rsidRDefault="009424A4" w:rsidP="00A76342">
            <w:pPr>
              <w:spacing w:line="276" w:lineRule="auto"/>
              <w:ind w:firstLineChars="167" w:firstLine="351"/>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对确认期初的投资的所有权常见的替代程序，我们要记录投资是否取得和事后的处置的情况。已记录的利息收入和股利也为期</w:t>
            </w:r>
            <w:proofErr w:type="gramStart"/>
            <w:r w:rsidRPr="003D208D">
              <w:rPr>
                <w:rFonts w:asciiTheme="minorEastAsia" w:eastAsiaTheme="minorEastAsia" w:hAnsiTheme="minorEastAsia" w:cs="Verdana" w:hint="eastAsia"/>
                <w:color w:val="000000"/>
                <w:sz w:val="21"/>
                <w:szCs w:val="21"/>
              </w:rPr>
              <w:t>初投资</w:t>
            </w:r>
            <w:proofErr w:type="gramEnd"/>
            <w:r w:rsidRPr="003D208D">
              <w:rPr>
                <w:rFonts w:asciiTheme="minorEastAsia" w:eastAsiaTheme="minorEastAsia" w:hAnsiTheme="minorEastAsia" w:cs="Verdana" w:hint="eastAsia"/>
                <w:color w:val="000000"/>
                <w:sz w:val="21"/>
                <w:szCs w:val="21"/>
              </w:rPr>
              <w:t>的所有权提供了证据。</w:t>
            </w:r>
          </w:p>
          <w:p w:rsidR="00A76342" w:rsidRDefault="00A76342" w:rsidP="00A76342">
            <w:pPr>
              <w:spacing w:line="276" w:lineRule="auto"/>
              <w:ind w:firstLineChars="167" w:firstLine="351"/>
              <w:rPr>
                <w:rFonts w:asciiTheme="minorEastAsia" w:eastAsiaTheme="minorEastAsia" w:hAnsiTheme="minorEastAsia" w:cs="Verdana"/>
                <w:color w:val="000000"/>
                <w:sz w:val="21"/>
                <w:szCs w:val="21"/>
              </w:rPr>
            </w:pPr>
          </w:p>
          <w:p w:rsidR="009424A4" w:rsidRPr="00A76342" w:rsidRDefault="009424A4" w:rsidP="00A76342">
            <w:pPr>
              <w:spacing w:line="276" w:lineRule="auto"/>
              <w:ind w:firstLineChars="0"/>
              <w:rPr>
                <w:rFonts w:asciiTheme="minorEastAsia" w:eastAsiaTheme="minorEastAsia" w:hAnsiTheme="minorEastAsia" w:cs="Verdana"/>
                <w:color w:val="000000"/>
                <w:sz w:val="21"/>
                <w:szCs w:val="21"/>
              </w:rPr>
            </w:pPr>
            <w:r w:rsidRPr="00A76342">
              <w:rPr>
                <w:rFonts w:asciiTheme="minorEastAsia" w:eastAsiaTheme="minorEastAsia" w:hAnsiTheme="minorEastAsia" w:cs="Verdana" w:hint="eastAsia"/>
                <w:color w:val="000000"/>
                <w:sz w:val="21"/>
                <w:szCs w:val="21"/>
              </w:rPr>
              <w:t>针对期初余额中的应收款项和对联营企业的投资考虑执行如下程序：</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获取期初余额中的应收款项和对联营企业的投资的明细和说明（需要说明期初余额中的项目在当期发生变化的情况）；</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将应收联营企业的款项与联营企业记录的金额进行核对；</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确认被审计单位的会计记录中的投资依据，包括性质的考虑，为取得每项投资所支付的价款，其核算是否遵循了适用的财务报告准则。</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通过参考财务报表和其他有价值的证据，审查期初对于联营企业投资的公允价值；</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考虑</w:t>
            </w:r>
            <w:proofErr w:type="gramStart"/>
            <w:r w:rsidRPr="003D208D">
              <w:rPr>
                <w:rFonts w:asciiTheme="minorEastAsia" w:eastAsiaTheme="minorEastAsia" w:hAnsiTheme="minorEastAsia" w:hint="eastAsia"/>
                <w:sz w:val="21"/>
                <w:szCs w:val="21"/>
              </w:rPr>
              <w:t>对于期初无法</w:t>
            </w:r>
            <w:proofErr w:type="gramEnd"/>
            <w:r w:rsidRPr="003D208D">
              <w:rPr>
                <w:rFonts w:asciiTheme="minorEastAsia" w:eastAsiaTheme="minorEastAsia" w:hAnsiTheme="minorEastAsia" w:hint="eastAsia"/>
                <w:sz w:val="21"/>
                <w:szCs w:val="21"/>
              </w:rPr>
              <w:t>收回的对联营企业的应收款项计提必要的坏账准备；</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确定期初在联营企业之间进行交易的性质、基础和商业目的；了解涉及财产、厂房和机器设备和投资的主要交易的详细情况，确定这些交易的核算和记录遵循了适用的财务报告准则；</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确定期初的应计利息和股利已在正确的时间进行了记录；</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确定期初已对于被合并企业的未分配的收益确认的递延收益及相关的所得税的预提是否恰当。</w:t>
            </w:r>
          </w:p>
          <w:p w:rsidR="009424A4" w:rsidRPr="003D208D" w:rsidRDefault="009424A4" w:rsidP="00A76342">
            <w:pPr>
              <w:spacing w:line="276" w:lineRule="auto"/>
              <w:ind w:left="188" w:right="23" w:firstLine="420"/>
              <w:rPr>
                <w:rFonts w:asciiTheme="minorEastAsia" w:eastAsiaTheme="minorEastAsia" w:hAnsiTheme="minorEastAsia"/>
                <w:sz w:val="21"/>
                <w:szCs w:val="21"/>
              </w:rPr>
            </w:pPr>
          </w:p>
          <w:p w:rsidR="009424A4" w:rsidRPr="003D208D" w:rsidRDefault="009424A4" w:rsidP="00A76342">
            <w:pPr>
              <w:spacing w:line="276" w:lineRule="auto"/>
              <w:ind w:right="23" w:firstLine="42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为证明期</w:t>
            </w:r>
            <w:proofErr w:type="gramStart"/>
            <w:r w:rsidRPr="003D208D">
              <w:rPr>
                <w:rFonts w:asciiTheme="minorEastAsia" w:eastAsiaTheme="minorEastAsia" w:hAnsiTheme="minorEastAsia" w:hint="eastAsia"/>
                <w:sz w:val="21"/>
                <w:szCs w:val="21"/>
              </w:rPr>
              <w:t>初投资</w:t>
            </w:r>
            <w:proofErr w:type="gramEnd"/>
            <w:r w:rsidRPr="003D208D">
              <w:rPr>
                <w:rFonts w:asciiTheme="minorEastAsia" w:eastAsiaTheme="minorEastAsia" w:hAnsiTheme="minorEastAsia" w:hint="eastAsia"/>
                <w:sz w:val="21"/>
                <w:szCs w:val="21"/>
              </w:rPr>
              <w:t>的所属权，我们记录投资获取的日期和之后处置的日期。同时利息和股利记录也可提供期初所属权的相关证据。</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bl>
    <w:tbl>
      <w:tblPr>
        <w:tblW w:w="8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995"/>
        <w:gridCol w:w="1384"/>
        <w:gridCol w:w="1276"/>
      </w:tblGrid>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6</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hint="eastAsia"/>
                <w:sz w:val="21"/>
                <w:szCs w:val="21"/>
                <w:lang w:val="en-US" w:eastAsia="zh-CN"/>
              </w:rPr>
              <w:t>固定资产</w:t>
            </w:r>
          </w:p>
          <w:p w:rsidR="009424A4" w:rsidRPr="003D208D" w:rsidRDefault="009424A4" w:rsidP="00A76342">
            <w:pPr>
              <w:spacing w:line="276" w:lineRule="auto"/>
              <w:ind w:right="23" w:firstLineChars="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针对期初余额中的固定资产与融资租赁考虑执行如下程序：</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获取对固定资产的主要类别的概要说明，了解其合理的使用期间，每年固定资产增加和其他的变化情况，取得相关的折旧、损失摊销的金额的明细，对相关事项执行测试程序。</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获取对所有重大租赁（协议）的说明和明细：</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通过其依据的文件（协议）弄清其主要的条款；</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Wingdings"/>
                <w:color w:val="000000"/>
                <w:sz w:val="21"/>
                <w:szCs w:val="21"/>
              </w:rPr>
            </w:pPr>
            <w:r w:rsidRPr="003D208D">
              <w:rPr>
                <w:rFonts w:asciiTheme="minorEastAsia" w:eastAsiaTheme="minorEastAsia" w:hAnsiTheme="minorEastAsia" w:cs="Wingdings" w:hint="eastAsia"/>
                <w:color w:val="000000"/>
                <w:sz w:val="21"/>
                <w:szCs w:val="21"/>
              </w:rPr>
              <w:t>确定是否租赁已经按照适用的财务报告准则进行恰当的分类。</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搞清楚被审计单位在区别增加固定资产的资本化和相关支出费用化时使用的标准；</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通过追查相关的文件或协议，确定固定资产的增加和处置已经作了适当的记录；</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对重要的资产进行实地检查。如果我们对被审计单位固定资产记录和对其相关资产控制和账目不太满意的情况下，执行这个程序就显得尤其重要；</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检查所有权相关证据，如，转让协议、发票、土地和建筑的所有权证、车辆注册登记证书（如行使证）等；</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确定是否利息已经恰当的进行资本化；</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被审计单位通过重组从前任业务所有者获得的、从吸收合并或其他非货币交易中取得的资产的相关信息，这些信息包括，以前任资产所有者运来的资产的依据；资产性质和对价的计量方法，购买价格的分配原则；</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取得所有在本期中对固定资产进行重新评估的详细资料，包括日期、评估的目的、评估方的名称和评估的相关分录的记录；</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复核累计折旧、损失和摊销以确定：</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使用了可接受的方法；</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采用了合理的使用寿命；</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计算的数学上的准确性。</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确定期初为出售而持有的富余的财产、厂房和设备其没有超过公允价值；</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确定管理层已经考虑了磨损的问题，并且相关损耗已遵循适用的财务报告准则进行了记录。</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7</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hint="eastAsia"/>
                <w:sz w:val="21"/>
                <w:szCs w:val="21"/>
                <w:lang w:val="en-US" w:eastAsia="zh-CN"/>
              </w:rPr>
              <w:t>无形资产，包括商誉</w:t>
            </w:r>
          </w:p>
          <w:p w:rsidR="009424A4" w:rsidRPr="003D208D" w:rsidRDefault="00A76342" w:rsidP="00A76342">
            <w:pPr>
              <w:spacing w:line="276" w:lineRule="auto"/>
              <w:ind w:firstLineChars="0"/>
              <w:jc w:val="both"/>
              <w:rPr>
                <w:rFonts w:asciiTheme="minorEastAsia" w:eastAsiaTheme="minorEastAsia" w:hAnsiTheme="minorEastAsia"/>
                <w:sz w:val="21"/>
                <w:szCs w:val="21"/>
              </w:rPr>
            </w:pPr>
            <w:r>
              <w:rPr>
                <w:rFonts w:asciiTheme="minorEastAsia" w:eastAsiaTheme="minorEastAsia" w:hAnsiTheme="minorEastAsia" w:hint="eastAsia"/>
                <w:sz w:val="21"/>
                <w:szCs w:val="21"/>
              </w:rPr>
              <w:t>针对期初余额中的无形资产和递延费用账户考虑执行如下程序：</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获取无形资产和递延费用账户的明细及在合理期间进行摊销的摊销金额明细表，说明相关摊销发生变化的性质；</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通过检查相关文件或协议，确定无形资产和递延费用账户的增加和减少已经恰当的进行记录；</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确定在合理可行的范围内，根据被审计单位的会计政策，是否应该记入无形资产或递延费用账户的支出已经被记入了期初的费用账户；</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获取关于被审计单位在非税交易、业务重组吸收合并和其他非货币交易中取得的无形资产的相关信息，包括资产性质、对价的计量方法和购买价格的分配基础。</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复核累计摊销以确定：</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使用了可接受的方法；</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采用了合理的使用寿命；</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计算的数学上的准确性。</w:t>
            </w:r>
          </w:p>
          <w:p w:rsidR="009424A4" w:rsidRPr="003D208D" w:rsidRDefault="009424A4" w:rsidP="00A76342">
            <w:pPr>
              <w:numPr>
                <w:ilvl w:val="0"/>
                <w:numId w:val="3"/>
              </w:numPr>
              <w:spacing w:line="276" w:lineRule="auto"/>
              <w:ind w:leftChars="85" w:left="500" w:right="-23" w:hangingChars="157" w:hanging="330"/>
              <w:jc w:val="both"/>
              <w:rPr>
                <w:rFonts w:asciiTheme="minorEastAsia" w:eastAsiaTheme="minorEastAsia" w:hAnsiTheme="minorEastAsia" w:cs="Verdana"/>
                <w:color w:val="000000"/>
                <w:sz w:val="21"/>
                <w:szCs w:val="21"/>
              </w:rPr>
            </w:pPr>
            <w:r w:rsidRPr="003D208D">
              <w:rPr>
                <w:rFonts w:asciiTheme="minorEastAsia" w:eastAsiaTheme="minorEastAsia" w:hAnsiTheme="minorEastAsia" w:cs="Verdana" w:hint="eastAsia"/>
                <w:color w:val="000000"/>
                <w:sz w:val="21"/>
                <w:szCs w:val="21"/>
              </w:rPr>
              <w:t>摊销政策保持了一致性。</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确定是否对所有受损失的无形资产和递延费用账户的冲销是必须的；</w:t>
            </w:r>
          </w:p>
          <w:p w:rsidR="009424A4" w:rsidRPr="003D208D" w:rsidRDefault="009424A4" w:rsidP="00A76342">
            <w:pPr>
              <w:numPr>
                <w:ilvl w:val="0"/>
                <w:numId w:val="1"/>
              </w:numPr>
              <w:autoSpaceDE w:val="0"/>
              <w:autoSpaceDN w:val="0"/>
              <w:adjustRightInd w:val="0"/>
              <w:spacing w:line="276" w:lineRule="auto"/>
              <w:ind w:left="187" w:right="23" w:firstLineChars="0" w:hanging="238"/>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确定是否无形资产和商誉根据适用的财务报告准则已经作了恰当的记录。</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bookmarkStart w:id="0" w:name="_Toc264639856"/>
            <w:r w:rsidRPr="003D208D">
              <w:rPr>
                <w:rFonts w:asciiTheme="minorEastAsia" w:eastAsiaTheme="minorEastAsia" w:hAnsiTheme="minorEastAsia" w:cs="Arial" w:hint="eastAsia"/>
                <w:sz w:val="21"/>
                <w:szCs w:val="21"/>
                <w:lang w:val="en-US" w:eastAsia="zh-CN"/>
              </w:rPr>
              <w:t>长期应收款，非活期存款和其他资产</w:t>
            </w:r>
            <w:bookmarkEnd w:id="0"/>
          </w:p>
          <w:p w:rsidR="009424A4" w:rsidRPr="003D208D" w:rsidRDefault="009424A4" w:rsidP="00A76342">
            <w:pPr>
              <w:spacing w:line="276" w:lineRule="auto"/>
              <w:ind w:firstLineChars="0"/>
              <w:jc w:val="both"/>
              <w:rPr>
                <w:rFonts w:asciiTheme="minorEastAsia" w:eastAsiaTheme="minorEastAsia" w:hAnsiTheme="minorEastAsia"/>
                <w:sz w:val="21"/>
                <w:szCs w:val="21"/>
              </w:rPr>
            </w:pPr>
            <w:bookmarkStart w:id="1" w:name="para_16251307"/>
            <w:bookmarkEnd w:id="1"/>
            <w:r w:rsidRPr="003D208D">
              <w:rPr>
                <w:rFonts w:asciiTheme="minorEastAsia" w:eastAsiaTheme="minorEastAsia" w:hAnsiTheme="minorEastAsia" w:hint="eastAsia"/>
                <w:sz w:val="21"/>
                <w:szCs w:val="21"/>
              </w:rPr>
              <w:t>针对期初余额中的长期应收款项、定期存款和其他资产账户考虑执行如下程序：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获取期初余额中长期应收款项、定期存款和其他资产的明细表和概要说明，需要说明在明细表中期初余额在当期发生变化的情况；</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考虑确认期初长期应收款项的余额；</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检查资产负债表</w:t>
            </w:r>
            <w:proofErr w:type="gramStart"/>
            <w:r w:rsidRPr="003D208D">
              <w:rPr>
                <w:rFonts w:asciiTheme="minorEastAsia" w:eastAsiaTheme="minorEastAsia" w:hAnsiTheme="minorEastAsia" w:hint="eastAsia"/>
                <w:sz w:val="21"/>
                <w:szCs w:val="21"/>
              </w:rPr>
              <w:t>日长期</w:t>
            </w:r>
            <w:proofErr w:type="gramEnd"/>
            <w:r w:rsidRPr="003D208D">
              <w:rPr>
                <w:rFonts w:asciiTheme="minorEastAsia" w:eastAsiaTheme="minorEastAsia" w:hAnsiTheme="minorEastAsia" w:hint="eastAsia"/>
                <w:sz w:val="21"/>
                <w:szCs w:val="21"/>
              </w:rPr>
              <w:t>应收款项的回收情况和存款的可回收程度；</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cs="Arial"/>
                <w:sz w:val="21"/>
                <w:szCs w:val="21"/>
              </w:rPr>
            </w:pPr>
            <w:r w:rsidRPr="003D208D">
              <w:rPr>
                <w:rFonts w:asciiTheme="minorEastAsia" w:eastAsiaTheme="minorEastAsia" w:hAnsiTheme="minorEastAsia" w:hint="eastAsia"/>
                <w:sz w:val="21"/>
                <w:szCs w:val="21"/>
              </w:rPr>
              <w:t>检查应收款项的估价恰当考虑了期后回收的情况或相关的调整。</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9</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宋体"/>
                <w:sz w:val="21"/>
                <w:szCs w:val="21"/>
                <w:lang w:val="en-US" w:eastAsia="zh-CN"/>
              </w:rPr>
            </w:pPr>
            <w:r w:rsidRPr="003D208D">
              <w:rPr>
                <w:rFonts w:asciiTheme="minorEastAsia" w:eastAsiaTheme="minorEastAsia" w:hAnsiTheme="minorEastAsia" w:cs="宋体" w:hint="eastAsia"/>
                <w:sz w:val="21"/>
                <w:szCs w:val="21"/>
                <w:lang w:val="en-US" w:eastAsia="zh-CN"/>
              </w:rPr>
              <w:t>应付票据</w:t>
            </w:r>
          </w:p>
          <w:p w:rsidR="009424A4" w:rsidRPr="003D208D" w:rsidRDefault="009424A4" w:rsidP="00A76342">
            <w:pPr>
              <w:spacing w:line="276" w:lineRule="auto"/>
              <w:ind w:firstLineChars="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针对期初余额中的应付票据考虑执行如下程序：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获取应付票据形成之日起该会计科目的明细及分析。这些明细应能按年限表明应付票据的增加和减少。</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确定应付票据已经根据票据复印件和其他辅助文件进行恰当的记录；</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检查在期</w:t>
            </w:r>
            <w:proofErr w:type="gramStart"/>
            <w:r w:rsidRPr="003D208D">
              <w:rPr>
                <w:rFonts w:asciiTheme="minorEastAsia" w:eastAsiaTheme="minorEastAsia" w:hAnsiTheme="minorEastAsia" w:hint="eastAsia"/>
                <w:sz w:val="21"/>
                <w:szCs w:val="21"/>
              </w:rPr>
              <w:t>初分析</w:t>
            </w:r>
            <w:proofErr w:type="gramEnd"/>
            <w:r w:rsidRPr="003D208D">
              <w:rPr>
                <w:rFonts w:asciiTheme="minorEastAsia" w:eastAsiaTheme="minorEastAsia" w:hAnsiTheme="minorEastAsia" w:hint="eastAsia"/>
                <w:sz w:val="21"/>
                <w:szCs w:val="21"/>
              </w:rPr>
              <w:t>中提到的票据作废、对欠款进行现金支付记录；</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确定期初的应计利息已经在当时进行恰当的记录；</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确定是否应付票据按性质进行了恰当的列示。</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宋体" w:hint="eastAsia"/>
                <w:sz w:val="21"/>
                <w:szCs w:val="21"/>
                <w:lang w:val="en-US" w:eastAsia="zh-CN"/>
              </w:rPr>
              <w:t>应付账款</w:t>
            </w:r>
            <w:r w:rsidRPr="003D208D">
              <w:rPr>
                <w:rFonts w:asciiTheme="minorEastAsia" w:eastAsiaTheme="minorEastAsia" w:hAnsiTheme="minorEastAsia" w:cs="Arial"/>
                <w:sz w:val="21"/>
                <w:szCs w:val="21"/>
                <w:lang w:val="en-US" w:eastAsia="zh-CN"/>
              </w:rPr>
              <w:t xml:space="preserve"> </w:t>
            </w:r>
            <w:r w:rsidRPr="003D208D">
              <w:rPr>
                <w:rFonts w:asciiTheme="minorEastAsia" w:eastAsiaTheme="minorEastAsia" w:hAnsiTheme="minorEastAsia" w:cs="Arial" w:hint="eastAsia"/>
                <w:sz w:val="21"/>
                <w:szCs w:val="21"/>
                <w:lang w:val="en-US" w:eastAsia="zh-CN"/>
              </w:rPr>
              <w:t>和应计费用</w:t>
            </w:r>
          </w:p>
          <w:p w:rsidR="009424A4" w:rsidRPr="003D208D" w:rsidRDefault="009424A4" w:rsidP="00A76342">
            <w:pPr>
              <w:spacing w:line="276" w:lineRule="auto"/>
              <w:ind w:firstLineChars="0"/>
              <w:jc w:val="both"/>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针对期初余额中的应付账款和应计费用账户考虑执行如下程序：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获取和检查应付账款的明细表和应计负债的概要说明。审查负债的余额，主要针对陈旧的负债和不常见的项目，追查明细表和概要说明中的项目到分类账和供应商分类账；</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检查支持应付账款的供应商的发票；</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通过较早的或当期记录的现金支付和供应商的发票或其他负债证据，查找没有记录的负债。</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检查应计负债的计算，特别是那些带薪休假补偿、养老金、其他辞退福利、岗位就业福利、出资分红等；</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将期初和期末的应计负债进行比较，考虑是否存在规定的应计负债没有计提。</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11</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hint="eastAsia"/>
                <w:sz w:val="21"/>
                <w:szCs w:val="21"/>
                <w:lang w:val="en-US" w:eastAsia="zh-CN"/>
              </w:rPr>
              <w:t>企业所得税</w:t>
            </w:r>
          </w:p>
          <w:p w:rsidR="009424A4" w:rsidRPr="003D208D" w:rsidRDefault="009424A4" w:rsidP="00A76342">
            <w:pPr>
              <w:spacing w:line="276" w:lineRule="auto"/>
              <w:ind w:firstLineChars="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针对期初余额中的所得税账户考虑执行如下程序：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获取针对合理审计期间的期初的税务规定的所得税的分析；</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获取合理的审计期间对会计收入和应纳税所得在完税前的每个所得税申报表及进行纳税调整的时间表；</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核实期初的递延所得税账户中的余额的计算；</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确定递延所得税可转回的程度；</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确定被审计单位已经按要求填写了所得税申报表，检查合理期间的所得税申报表中可能被税务管理局询问的可疑事项的相关证据；</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检查与税务管理部门的沟通函件；确定是否有针对调整、赔偿和处罚的相关规定；确定规定已经有可能要求调整，比较已经被税务管理部门</w:t>
            </w:r>
            <w:proofErr w:type="gramStart"/>
            <w:r w:rsidRPr="003D208D">
              <w:rPr>
                <w:rFonts w:asciiTheme="minorEastAsia" w:eastAsiaTheme="minorEastAsia" w:hAnsiTheme="minorEastAsia" w:hint="eastAsia"/>
                <w:sz w:val="21"/>
                <w:szCs w:val="21"/>
              </w:rPr>
              <w:t>作出</w:t>
            </w:r>
            <w:proofErr w:type="gramEnd"/>
            <w:r w:rsidRPr="003D208D">
              <w:rPr>
                <w:rFonts w:asciiTheme="minorEastAsia" w:eastAsiaTheme="minorEastAsia" w:hAnsiTheme="minorEastAsia" w:hint="eastAsia"/>
                <w:sz w:val="21"/>
                <w:szCs w:val="21"/>
              </w:rPr>
              <w:t>税收估价的和很多年没有被</w:t>
            </w:r>
            <w:proofErr w:type="gramStart"/>
            <w:r w:rsidRPr="003D208D">
              <w:rPr>
                <w:rFonts w:asciiTheme="minorEastAsia" w:eastAsiaTheme="minorEastAsia" w:hAnsiTheme="minorEastAsia" w:hint="eastAsia"/>
                <w:sz w:val="21"/>
                <w:szCs w:val="21"/>
              </w:rPr>
              <w:t>作出</w:t>
            </w:r>
            <w:proofErr w:type="gramEnd"/>
            <w:r w:rsidRPr="003D208D">
              <w:rPr>
                <w:rFonts w:asciiTheme="minorEastAsia" w:eastAsiaTheme="minorEastAsia" w:hAnsiTheme="minorEastAsia" w:hint="eastAsia"/>
                <w:sz w:val="21"/>
                <w:szCs w:val="21"/>
              </w:rPr>
              <w:t>税收估价的事项；</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获取弥补亏损的时间表和弥补亏损年度的初始年度和相关申请；</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复核指派给项目小组的所得税专业人员对预提所得税的计算，建议和可能的评价，及当期和递延所得税账户（与当期所得税和递延所得税均相关）的状况。</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A76342"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w:t>
            </w:r>
          </w:p>
        </w:tc>
        <w:tc>
          <w:tcPr>
            <w:tcW w:w="4995" w:type="dxa"/>
          </w:tcPr>
          <w:p w:rsidR="009424A4" w:rsidRPr="003D208D" w:rsidRDefault="009424A4" w:rsidP="00A76342">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hint="eastAsia"/>
                <w:sz w:val="21"/>
                <w:szCs w:val="21"/>
                <w:lang w:val="en-US" w:eastAsia="zh-CN"/>
              </w:rPr>
              <w:t>预提、应计的和其他负债以及递延收入</w:t>
            </w:r>
          </w:p>
          <w:p w:rsidR="009424A4" w:rsidRPr="003D208D" w:rsidRDefault="009424A4" w:rsidP="00A76342">
            <w:pPr>
              <w:spacing w:line="276" w:lineRule="auto"/>
              <w:ind w:firstLineChars="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针对期初余额中的预提的、应计以及其他负债和递</w:t>
            </w:r>
            <w:proofErr w:type="gramStart"/>
            <w:r w:rsidRPr="003D208D">
              <w:rPr>
                <w:rFonts w:asciiTheme="minorEastAsia" w:eastAsiaTheme="minorEastAsia" w:hAnsiTheme="minorEastAsia" w:hint="eastAsia"/>
                <w:sz w:val="21"/>
                <w:szCs w:val="21"/>
              </w:rPr>
              <w:t>延收入</w:t>
            </w:r>
            <w:proofErr w:type="gramEnd"/>
            <w:r w:rsidRPr="003D208D">
              <w:rPr>
                <w:rFonts w:asciiTheme="minorEastAsia" w:eastAsiaTheme="minorEastAsia" w:hAnsiTheme="minorEastAsia" w:hint="eastAsia"/>
                <w:sz w:val="21"/>
                <w:szCs w:val="21"/>
              </w:rPr>
              <w:t>账户考虑执行如下程序：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获取和检查期初应计负债和预提事项；追查明细表和概要说明中的事项到分类账和供应商分类账；</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根据较早和当期发生的现金支付、供应商的发票和其他有关负债的证据，查找未记录的负债；</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检查应计负债的计算，特别是那些带薪休假补偿、养老金和出资分红；</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将期初和期末的应计负债进行比较，考虑是否存在没有预提的应计负债。</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2B557A"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13</w:t>
            </w:r>
          </w:p>
        </w:tc>
        <w:tc>
          <w:tcPr>
            <w:tcW w:w="4995" w:type="dxa"/>
          </w:tcPr>
          <w:p w:rsidR="009424A4" w:rsidRPr="003D208D" w:rsidRDefault="009424A4" w:rsidP="002B557A">
            <w:pPr>
              <w:pStyle w:val="liin1"/>
              <w:spacing w:before="0" w:line="276" w:lineRule="auto"/>
              <w:ind w:left="0" w:right="6" w:firstLine="0"/>
              <w:rPr>
                <w:rFonts w:asciiTheme="minorEastAsia" w:eastAsiaTheme="minorEastAsia" w:hAnsiTheme="minorEastAsia" w:cs="Arial"/>
                <w:b/>
                <w:sz w:val="21"/>
                <w:szCs w:val="21"/>
                <w:lang w:eastAsia="zh-CN"/>
              </w:rPr>
            </w:pPr>
            <w:r w:rsidRPr="003D208D">
              <w:rPr>
                <w:rFonts w:asciiTheme="minorEastAsia" w:eastAsiaTheme="minorEastAsia" w:hAnsiTheme="minorEastAsia" w:cs="Arial" w:hint="eastAsia"/>
                <w:b/>
                <w:sz w:val="21"/>
                <w:szCs w:val="21"/>
                <w:lang w:eastAsia="zh-CN"/>
              </w:rPr>
              <w:t>长期负债</w:t>
            </w:r>
          </w:p>
          <w:p w:rsidR="009424A4" w:rsidRPr="003D208D" w:rsidRDefault="009424A4" w:rsidP="002B557A">
            <w:pPr>
              <w:spacing w:line="276" w:lineRule="auto"/>
              <w:ind w:firstLineChars="0"/>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针对期初余额中的长期负债账户考虑执行如下程序：</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获取长期负债形成之日起该会计科目的明细及分析。这些明细应能按年限表明长期负债的增加和减少。</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获取期初的贷款协议和到期未还的负债的展期协议，记录主要条款、借款条件和限制条款及对于核算、记录和披露的影响；</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确定长期负债已经根据协议、票据复印件和其他辅助文件进行恰当的记录</w:t>
            </w:r>
            <w:r w:rsidR="002B557A">
              <w:rPr>
                <w:rFonts w:asciiTheme="minorEastAsia" w:eastAsiaTheme="minorEastAsia" w:hAnsiTheme="minorEastAsia" w:hint="eastAsia"/>
                <w:sz w:val="21"/>
                <w:szCs w:val="21"/>
              </w:rPr>
              <w:t>；</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确定期初的认股权证、期权和各种债券的发行费用的处理；</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确定期初的应计利息已经在当时进行恰当的记录；</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确定是否负债</w:t>
            </w:r>
            <w:proofErr w:type="gramStart"/>
            <w:r w:rsidRPr="003D208D">
              <w:rPr>
                <w:rFonts w:asciiTheme="minorEastAsia" w:eastAsiaTheme="minorEastAsia" w:hAnsiTheme="minorEastAsia" w:hint="eastAsia"/>
                <w:sz w:val="21"/>
                <w:szCs w:val="21"/>
              </w:rPr>
              <w:t>按照长期</w:t>
            </w:r>
            <w:proofErr w:type="gramEnd"/>
            <w:r w:rsidRPr="003D208D">
              <w:rPr>
                <w:rFonts w:asciiTheme="minorEastAsia" w:eastAsiaTheme="minorEastAsia" w:hAnsiTheme="minorEastAsia" w:hint="eastAsia"/>
                <w:sz w:val="21"/>
                <w:szCs w:val="21"/>
              </w:rPr>
              <w:t>和短期进行了恰当的分类。</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2B557A"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4995" w:type="dxa"/>
          </w:tcPr>
          <w:p w:rsidR="009424A4" w:rsidRPr="003D208D" w:rsidRDefault="009424A4" w:rsidP="002B557A">
            <w:pPr>
              <w:pStyle w:val="liin1"/>
              <w:spacing w:before="0" w:line="276" w:lineRule="auto"/>
              <w:ind w:left="0" w:right="6" w:firstLine="0"/>
              <w:rPr>
                <w:rFonts w:asciiTheme="minorEastAsia" w:eastAsiaTheme="minorEastAsia" w:hAnsiTheme="minorEastAsia" w:cs="Arial"/>
                <w:b/>
                <w:sz w:val="21"/>
                <w:szCs w:val="21"/>
                <w:lang w:eastAsia="zh-CN"/>
              </w:rPr>
            </w:pPr>
            <w:r w:rsidRPr="003D208D">
              <w:rPr>
                <w:rFonts w:asciiTheme="minorEastAsia" w:eastAsiaTheme="minorEastAsia" w:hAnsiTheme="minorEastAsia" w:cs="Arial" w:hint="eastAsia"/>
                <w:b/>
                <w:sz w:val="21"/>
                <w:szCs w:val="21"/>
                <w:lang w:eastAsia="zh-CN"/>
              </w:rPr>
              <w:t>意外事故和承诺</w:t>
            </w:r>
          </w:p>
          <w:p w:rsidR="009424A4" w:rsidRPr="003D208D" w:rsidRDefault="009424A4" w:rsidP="00A76342">
            <w:pPr>
              <w:pStyle w:val="GSAGParagraph"/>
              <w:spacing w:before="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hint="eastAsia"/>
                <w:sz w:val="21"/>
                <w:szCs w:val="21"/>
                <w:lang w:val="en-US" w:eastAsia="zh-CN"/>
              </w:rPr>
              <w:t>在</w:t>
            </w:r>
            <w:r w:rsidRPr="003D208D">
              <w:rPr>
                <w:rFonts w:asciiTheme="minorEastAsia" w:eastAsiaTheme="minorEastAsia" w:hAnsiTheme="minorEastAsia" w:cs="宋体" w:hint="eastAsia"/>
                <w:sz w:val="21"/>
                <w:szCs w:val="21"/>
                <w:lang w:val="en-US" w:eastAsia="zh-CN"/>
              </w:rPr>
              <w:t>审计</w:t>
            </w:r>
            <w:r w:rsidRPr="003D208D">
              <w:rPr>
                <w:rFonts w:asciiTheme="minorEastAsia" w:eastAsiaTheme="minorEastAsia" w:hAnsiTheme="minorEastAsia" w:cs="MS Mincho" w:hint="eastAsia"/>
                <w:sz w:val="21"/>
                <w:szCs w:val="21"/>
                <w:lang w:val="en-US" w:eastAsia="zh-CN"/>
              </w:rPr>
              <w:t>期初</w:t>
            </w:r>
            <w:r w:rsidRPr="003D208D">
              <w:rPr>
                <w:rFonts w:asciiTheme="minorEastAsia" w:eastAsiaTheme="minorEastAsia" w:hAnsiTheme="minorEastAsia" w:cs="宋体" w:hint="eastAsia"/>
                <w:sz w:val="21"/>
                <w:szCs w:val="21"/>
                <w:lang w:val="en-US" w:eastAsia="zh-CN"/>
              </w:rPr>
              <w:t>意外事故和承诺时</w:t>
            </w:r>
            <w:r w:rsidRPr="003D208D">
              <w:rPr>
                <w:rFonts w:asciiTheme="minorEastAsia" w:eastAsiaTheme="minorEastAsia" w:hAnsiTheme="minorEastAsia" w:cs="MS Mincho" w:hint="eastAsia"/>
                <w:sz w:val="21"/>
                <w:szCs w:val="21"/>
                <w:lang w:val="en-US" w:eastAsia="zh-CN"/>
              </w:rPr>
              <w:t>所考</w:t>
            </w:r>
            <w:r w:rsidRPr="003D208D">
              <w:rPr>
                <w:rFonts w:asciiTheme="minorEastAsia" w:eastAsiaTheme="minorEastAsia" w:hAnsiTheme="minorEastAsia" w:cs="宋体" w:hint="eastAsia"/>
                <w:sz w:val="21"/>
                <w:szCs w:val="21"/>
                <w:lang w:val="en-US" w:eastAsia="zh-CN"/>
              </w:rPr>
              <w:t>虑</w:t>
            </w:r>
            <w:r w:rsidRPr="003D208D">
              <w:rPr>
                <w:rFonts w:asciiTheme="minorEastAsia" w:eastAsiaTheme="minorEastAsia" w:hAnsiTheme="minorEastAsia" w:cs="MS Mincho" w:hint="eastAsia"/>
                <w:sz w:val="21"/>
                <w:szCs w:val="21"/>
                <w:lang w:val="en-US" w:eastAsia="zh-CN"/>
              </w:rPr>
              <w:t>的程序有</w:t>
            </w:r>
            <w:r w:rsidR="002B557A">
              <w:rPr>
                <w:rFonts w:asciiTheme="minorEastAsia" w:eastAsiaTheme="minorEastAsia" w:hAnsiTheme="minorEastAsia" w:cs="Arial" w:hint="eastAsia"/>
                <w:sz w:val="21"/>
                <w:szCs w:val="21"/>
                <w:lang w:val="en-US" w:eastAsia="zh-CN"/>
              </w:rPr>
              <w:t>：</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在我们对当期意外事故和承诺执行审计程序时，考虑这些意外事故和承诺是否与以前期间相关。</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bookmarkStart w:id="2" w:name="para_22377205"/>
            <w:bookmarkEnd w:id="2"/>
            <w:r w:rsidRPr="003D208D">
              <w:rPr>
                <w:rFonts w:asciiTheme="minorEastAsia" w:eastAsiaTheme="minorEastAsia" w:hAnsiTheme="minorEastAsia" w:hint="eastAsia"/>
                <w:sz w:val="21"/>
                <w:szCs w:val="21"/>
              </w:rPr>
              <w:t>确定当期解决的承诺或负债是否与以前年度相关。</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r w:rsidR="009424A4" w:rsidRPr="003D208D" w:rsidTr="00FA4176">
        <w:trPr>
          <w:cantSplit/>
          <w:tblHeader/>
        </w:trPr>
        <w:tc>
          <w:tcPr>
            <w:tcW w:w="675" w:type="dxa"/>
          </w:tcPr>
          <w:p w:rsidR="009424A4" w:rsidRPr="003D208D" w:rsidRDefault="002B557A" w:rsidP="00A76342">
            <w:pPr>
              <w:spacing w:line="276" w:lineRule="auto"/>
              <w:ind w:firstLineChars="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15</w:t>
            </w:r>
          </w:p>
        </w:tc>
        <w:tc>
          <w:tcPr>
            <w:tcW w:w="4995" w:type="dxa"/>
          </w:tcPr>
          <w:p w:rsidR="002B557A" w:rsidRDefault="009424A4" w:rsidP="002B557A">
            <w:pPr>
              <w:pStyle w:val="GSAGHeading3"/>
              <w:spacing w:before="0" w:after="0" w:line="276" w:lineRule="auto"/>
              <w:ind w:right="6"/>
              <w:rPr>
                <w:rFonts w:asciiTheme="minorEastAsia" w:eastAsiaTheme="minorEastAsia" w:hAnsiTheme="minorEastAsia" w:cs="Arial"/>
                <w:sz w:val="21"/>
                <w:szCs w:val="21"/>
                <w:lang w:val="en-US" w:eastAsia="zh-CN"/>
              </w:rPr>
            </w:pPr>
            <w:r w:rsidRPr="003D208D">
              <w:rPr>
                <w:rFonts w:asciiTheme="minorEastAsia" w:eastAsiaTheme="minorEastAsia" w:hAnsiTheme="minorEastAsia" w:cs="Arial"/>
                <w:sz w:val="21"/>
                <w:szCs w:val="21"/>
                <w:lang w:val="en-US"/>
              </w:rPr>
              <w:t xml:space="preserve"> </w:t>
            </w:r>
            <w:r w:rsidRPr="003D208D">
              <w:rPr>
                <w:rFonts w:asciiTheme="minorEastAsia" w:eastAsiaTheme="minorEastAsia" w:hAnsiTheme="minorEastAsia" w:cs="Arial" w:hint="eastAsia"/>
                <w:sz w:val="21"/>
                <w:szCs w:val="21"/>
                <w:lang w:val="en-US" w:eastAsia="zh-CN"/>
              </w:rPr>
              <w:t>所有者权益</w:t>
            </w:r>
          </w:p>
          <w:p w:rsidR="009424A4" w:rsidRPr="002B557A" w:rsidRDefault="009424A4" w:rsidP="002B557A">
            <w:pPr>
              <w:pStyle w:val="GSAGParagraph"/>
              <w:spacing w:before="0" w:line="276" w:lineRule="auto"/>
              <w:ind w:right="6"/>
              <w:rPr>
                <w:rFonts w:asciiTheme="minorEastAsia" w:eastAsiaTheme="minorEastAsia" w:hAnsiTheme="minorEastAsia" w:cs="Arial"/>
                <w:sz w:val="21"/>
                <w:szCs w:val="21"/>
                <w:lang w:val="en-US" w:eastAsia="zh-CN"/>
              </w:rPr>
            </w:pPr>
            <w:r w:rsidRPr="002B557A">
              <w:rPr>
                <w:rFonts w:asciiTheme="minorEastAsia" w:eastAsiaTheme="minorEastAsia" w:hAnsiTheme="minorEastAsia" w:cs="Arial" w:hint="eastAsia"/>
                <w:sz w:val="21"/>
                <w:szCs w:val="21"/>
                <w:lang w:val="en-US" w:eastAsia="zh-CN"/>
              </w:rPr>
              <w:t>针对期初余额中的股东、合伙人或所有者权益账户考虑执行如下程序</w:t>
            </w:r>
            <w:r w:rsidR="002B557A">
              <w:rPr>
                <w:rFonts w:asciiTheme="minorEastAsia" w:eastAsiaTheme="minorEastAsia" w:hAnsiTheme="minorEastAsia" w:cs="Arial" w:hint="eastAsia"/>
                <w:sz w:val="21"/>
                <w:szCs w:val="21"/>
                <w:lang w:val="en-US" w:eastAsia="zh-CN"/>
              </w:rPr>
              <w:t>：</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获取每个合理期间权益账户的概要说明（按交易分类，例如，货币投入、其他财产投入、服务投入、为取得相关业务而发行股票、年度收入、股息或</w:t>
            </w:r>
            <w:proofErr w:type="gramStart"/>
            <w:r w:rsidRPr="003D208D">
              <w:rPr>
                <w:rFonts w:asciiTheme="minorEastAsia" w:eastAsiaTheme="minorEastAsia" w:hAnsiTheme="minorEastAsia" w:hint="eastAsia"/>
                <w:sz w:val="21"/>
                <w:szCs w:val="21"/>
              </w:rPr>
              <w:t>其他其他</w:t>
            </w:r>
            <w:proofErr w:type="gramEnd"/>
            <w:r w:rsidRPr="003D208D">
              <w:rPr>
                <w:rFonts w:asciiTheme="minorEastAsia" w:eastAsiaTheme="minorEastAsia" w:hAnsiTheme="minorEastAsia" w:hint="eastAsia"/>
                <w:sz w:val="21"/>
                <w:szCs w:val="21"/>
              </w:rPr>
              <w:t>逐年的退股的情况。说明相关各项费用或贷款信用，识别所涉及的</w:t>
            </w:r>
            <w:proofErr w:type="gramStart"/>
            <w:r w:rsidRPr="003D208D">
              <w:rPr>
                <w:rFonts w:asciiTheme="minorEastAsia" w:eastAsiaTheme="minorEastAsia" w:hAnsiTheme="minorEastAsia" w:hint="eastAsia"/>
                <w:sz w:val="21"/>
                <w:szCs w:val="21"/>
              </w:rPr>
              <w:t>抵销</w:t>
            </w:r>
            <w:proofErr w:type="gramEnd"/>
            <w:r w:rsidRPr="003D208D">
              <w:rPr>
                <w:rFonts w:asciiTheme="minorEastAsia" w:eastAsiaTheme="minorEastAsia" w:hAnsiTheme="minorEastAsia" w:hint="eastAsia"/>
                <w:sz w:val="21"/>
                <w:szCs w:val="21"/>
              </w:rPr>
              <w:t>账户，任何与累积的其他综合收益账户相关的金额）并进行分析；</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检查股东会议记录、公司执照、章程、合伙人协议、资本结构的调整计划、合并协议、股份或期权销售协议，其他与权益账户信息相关的文件；</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向交易登记机构对股票的发行的授权批准进行</w:t>
            </w:r>
            <w:proofErr w:type="gramStart"/>
            <w:r w:rsidRPr="003D208D">
              <w:rPr>
                <w:rFonts w:asciiTheme="minorEastAsia" w:eastAsiaTheme="minorEastAsia" w:hAnsiTheme="minorEastAsia" w:hint="eastAsia"/>
                <w:sz w:val="21"/>
                <w:szCs w:val="21"/>
              </w:rPr>
              <w:t>询</w:t>
            </w:r>
            <w:proofErr w:type="gramEnd"/>
            <w:r w:rsidRPr="003D208D">
              <w:rPr>
                <w:rFonts w:asciiTheme="minorEastAsia" w:eastAsiaTheme="minorEastAsia" w:hAnsiTheme="minorEastAsia" w:hint="eastAsia"/>
                <w:sz w:val="21"/>
                <w:szCs w:val="21"/>
              </w:rPr>
              <w:t>证；</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比较股票登记簿与分类账的详细记录；</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针对历史的问题获取法律顾问的确认函；</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获取对任何对权益分析中提及的重组、合并和业务合并事项的相关信息，特别关注在这些有关交易的记录中相关的会计政策，例如对资产重新评估。</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确定在向股东或其他所的者分派股利时被审计单位遵守了所有限制性条件；</w:t>
            </w:r>
          </w:p>
          <w:p w:rsidR="009424A4" w:rsidRPr="003D208D" w:rsidRDefault="009424A4" w:rsidP="00A76342">
            <w:pPr>
              <w:numPr>
                <w:ilvl w:val="0"/>
                <w:numId w:val="1"/>
              </w:numPr>
              <w:autoSpaceDE w:val="0"/>
              <w:autoSpaceDN w:val="0"/>
              <w:adjustRightInd w:val="0"/>
              <w:spacing w:line="276" w:lineRule="auto"/>
              <w:ind w:left="188" w:right="23" w:firstLineChars="0" w:hanging="241"/>
              <w:rPr>
                <w:rFonts w:asciiTheme="minorEastAsia" w:eastAsiaTheme="minorEastAsia" w:hAnsiTheme="minorEastAsia"/>
                <w:sz w:val="21"/>
                <w:szCs w:val="21"/>
              </w:rPr>
            </w:pPr>
            <w:r w:rsidRPr="003D208D">
              <w:rPr>
                <w:rFonts w:asciiTheme="minorEastAsia" w:eastAsiaTheme="minorEastAsia" w:hAnsiTheme="minorEastAsia" w:hint="eastAsia"/>
                <w:sz w:val="21"/>
                <w:szCs w:val="21"/>
              </w:rPr>
              <w:t>确定期初已宣告未支付的股利已经在当时记入了负债或遵守了适当的准则。</w:t>
            </w:r>
          </w:p>
        </w:tc>
        <w:tc>
          <w:tcPr>
            <w:tcW w:w="1384"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c>
          <w:tcPr>
            <w:tcW w:w="1276" w:type="dxa"/>
          </w:tcPr>
          <w:p w:rsidR="009424A4" w:rsidRPr="003D208D" w:rsidRDefault="009424A4" w:rsidP="00A76342">
            <w:pPr>
              <w:spacing w:line="276" w:lineRule="auto"/>
              <w:ind w:firstLineChars="0"/>
              <w:rPr>
                <w:rFonts w:asciiTheme="minorEastAsia" w:eastAsiaTheme="minorEastAsia" w:hAnsiTheme="minorEastAsia"/>
                <w:sz w:val="21"/>
                <w:szCs w:val="21"/>
              </w:rPr>
            </w:pPr>
          </w:p>
        </w:tc>
      </w:tr>
    </w:tbl>
    <w:p w:rsidR="00775C06" w:rsidRPr="00775C06" w:rsidRDefault="00775C06" w:rsidP="00775C06">
      <w:pPr>
        <w:spacing w:line="440" w:lineRule="exact"/>
        <w:ind w:firstLine="420"/>
        <w:rPr>
          <w:rFonts w:asciiTheme="minorEastAsia" w:eastAsiaTheme="minorEastAsia" w:hAnsiTheme="minorEastAsia"/>
          <w:color w:val="0000FF"/>
          <w:sz w:val="21"/>
          <w:szCs w:val="21"/>
        </w:rPr>
      </w:pPr>
    </w:p>
    <w:sectPr w:rsidR="00775C06" w:rsidRPr="00775C06" w:rsidSect="006C6FD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441" w:rsidRDefault="00CA5441" w:rsidP="000006B7">
      <w:pPr>
        <w:ind w:firstLine="400"/>
      </w:pPr>
      <w:r>
        <w:separator/>
      </w:r>
    </w:p>
  </w:endnote>
  <w:endnote w:type="continuationSeparator" w:id="0">
    <w:p w:rsidR="00CA5441" w:rsidRDefault="00CA5441" w:rsidP="000006B7">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B7" w:rsidRDefault="000006B7" w:rsidP="000006B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9516"/>
      <w:docPartObj>
        <w:docPartGallery w:val="Page Numbers (Bottom of Page)"/>
        <w:docPartUnique/>
      </w:docPartObj>
    </w:sdtPr>
    <w:sdtEndPr/>
    <w:sdtContent>
      <w:p w:rsidR="001161BF" w:rsidRDefault="001161BF" w:rsidP="001161BF">
        <w:pPr>
          <w:pStyle w:val="a4"/>
          <w:ind w:firstLineChars="0"/>
        </w:pPr>
        <w:r>
          <w:rPr>
            <w:rFonts w:hint="eastAsia"/>
          </w:rPr>
          <w:t xml:space="preserve">2013.08                                        </w:t>
        </w:r>
        <w:r w:rsidR="00CA5441">
          <w:fldChar w:fldCharType="begin"/>
        </w:r>
        <w:r w:rsidR="00CA5441">
          <w:instrText xml:space="preserve"> PAGE   \* MERGEFORMAT </w:instrText>
        </w:r>
        <w:r w:rsidR="00CA5441">
          <w:fldChar w:fldCharType="separate"/>
        </w:r>
        <w:r w:rsidR="00E93269" w:rsidRPr="00E93269">
          <w:rPr>
            <w:noProof/>
            <w:lang w:val="zh-CN"/>
          </w:rPr>
          <w:t>1</w:t>
        </w:r>
        <w:r w:rsidR="00CA5441">
          <w:rPr>
            <w:noProof/>
            <w:lang w:val="zh-CN"/>
          </w:rPr>
          <w:fldChar w:fldCharType="end"/>
        </w:r>
      </w:p>
    </w:sdtContent>
  </w:sdt>
  <w:p w:rsidR="000006B7" w:rsidRDefault="000006B7" w:rsidP="000006B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B7" w:rsidRDefault="000006B7" w:rsidP="000006B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441" w:rsidRDefault="00CA5441" w:rsidP="000006B7">
      <w:pPr>
        <w:ind w:firstLine="400"/>
      </w:pPr>
      <w:r>
        <w:separator/>
      </w:r>
    </w:p>
  </w:footnote>
  <w:footnote w:type="continuationSeparator" w:id="0">
    <w:p w:rsidR="00CA5441" w:rsidRDefault="00CA5441" w:rsidP="000006B7">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B7" w:rsidRDefault="000006B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B7" w:rsidRPr="000006B7" w:rsidRDefault="000006B7" w:rsidP="003C3E5E">
    <w:pPr>
      <w:pStyle w:val="a3"/>
      <w:pBdr>
        <w:bottom w:val="single" w:sz="4" w:space="0" w:color="auto"/>
      </w:pBdr>
      <w:tabs>
        <w:tab w:val="right" w:pos="8334"/>
      </w:tabs>
      <w:jc w:val="both"/>
      <w:rPr>
        <w:b/>
      </w:rPr>
    </w:pPr>
    <w:r w:rsidRPr="000006B7">
      <w:rPr>
        <w:rFonts w:ascii="隶书" w:hint="eastAsia"/>
        <w:b/>
        <w:sz w:val="21"/>
        <w:szCs w:val="21"/>
      </w:rPr>
      <w:t>7320</w:t>
    </w:r>
    <w:r w:rsidRPr="000006B7">
      <w:rPr>
        <w:rFonts w:ascii="隶书" w:hint="eastAsia"/>
        <w:b/>
        <w:sz w:val="21"/>
        <w:szCs w:val="21"/>
      </w:rPr>
      <w:t xml:space="preserve">期初余额                                    </w:t>
    </w:r>
    <w:bookmarkStart w:id="3" w:name="_GoBack"/>
    <w:r w:rsidR="00E93269">
      <w:rPr>
        <w:noProof/>
      </w:rPr>
      <w:drawing>
        <wp:inline distT="0" distB="0" distL="0" distR="0" wp14:anchorId="7D8FAEB6" wp14:editId="0C2E84DD">
          <wp:extent cx="1772602" cy="293802"/>
          <wp:effectExtent l="0" t="0" r="0" b="0"/>
          <wp:docPr id="1" name="图片 1"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807307" cy="299554"/>
                  </a:xfrm>
                  <a:prstGeom prst="rect">
                    <a:avLst/>
                  </a:prstGeom>
                  <a:noFill/>
                  <a:ln w="9525">
                    <a:noFill/>
                    <a:miter lim="800000"/>
                    <a:headEnd/>
                    <a:tailEnd/>
                  </a:ln>
                </pic:spPr>
              </pic:pic>
            </a:graphicData>
          </a:graphic>
        </wp:inline>
      </w:drawing>
    </w:r>
    <w:bookmarkEnd w:id="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B7" w:rsidRDefault="000006B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80809"/>
    <w:multiLevelType w:val="hybridMultilevel"/>
    <w:tmpl w:val="E66C845C"/>
    <w:lvl w:ilvl="0" w:tplc="32CAD86E">
      <w:start w:val="1"/>
      <w:numFmt w:val="bullet"/>
      <w:lvlText w:val=""/>
      <w:lvlJc w:val="left"/>
      <w:pPr>
        <w:ind w:left="1979"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6FE61CF"/>
    <w:multiLevelType w:val="hybridMultilevel"/>
    <w:tmpl w:val="681C545C"/>
    <w:lvl w:ilvl="0" w:tplc="E8722110">
      <w:start w:val="1"/>
      <w:numFmt w:val="bullet"/>
      <w:lvlText w:val="○"/>
      <w:lvlJc w:val="left"/>
      <w:pPr>
        <w:ind w:left="2186" w:hanging="420"/>
      </w:pPr>
      <w:rPr>
        <w:rFonts w:ascii="宋体" w:eastAsia="宋体" w:hAnsi="宋体" w:hint="eastAsia"/>
        <w:sz w:val="13"/>
        <w:szCs w:val="13"/>
      </w:rPr>
    </w:lvl>
    <w:lvl w:ilvl="1" w:tplc="04090003" w:tentative="1">
      <w:start w:val="1"/>
      <w:numFmt w:val="bullet"/>
      <w:lvlText w:val=""/>
      <w:lvlJc w:val="left"/>
      <w:pPr>
        <w:ind w:left="2606" w:hanging="420"/>
      </w:pPr>
      <w:rPr>
        <w:rFonts w:ascii="Wingdings" w:hAnsi="Wingdings" w:hint="default"/>
      </w:rPr>
    </w:lvl>
    <w:lvl w:ilvl="2" w:tplc="04090005" w:tentative="1">
      <w:start w:val="1"/>
      <w:numFmt w:val="bullet"/>
      <w:lvlText w:val=""/>
      <w:lvlJc w:val="left"/>
      <w:pPr>
        <w:ind w:left="3026" w:hanging="420"/>
      </w:pPr>
      <w:rPr>
        <w:rFonts w:ascii="Wingdings" w:hAnsi="Wingdings" w:hint="default"/>
      </w:rPr>
    </w:lvl>
    <w:lvl w:ilvl="3" w:tplc="04090001" w:tentative="1">
      <w:start w:val="1"/>
      <w:numFmt w:val="bullet"/>
      <w:lvlText w:val=""/>
      <w:lvlJc w:val="left"/>
      <w:pPr>
        <w:ind w:left="3446" w:hanging="420"/>
      </w:pPr>
      <w:rPr>
        <w:rFonts w:ascii="Wingdings" w:hAnsi="Wingdings" w:hint="default"/>
      </w:rPr>
    </w:lvl>
    <w:lvl w:ilvl="4" w:tplc="04090003" w:tentative="1">
      <w:start w:val="1"/>
      <w:numFmt w:val="bullet"/>
      <w:lvlText w:val=""/>
      <w:lvlJc w:val="left"/>
      <w:pPr>
        <w:ind w:left="3866" w:hanging="420"/>
      </w:pPr>
      <w:rPr>
        <w:rFonts w:ascii="Wingdings" w:hAnsi="Wingdings" w:hint="default"/>
      </w:rPr>
    </w:lvl>
    <w:lvl w:ilvl="5" w:tplc="04090005" w:tentative="1">
      <w:start w:val="1"/>
      <w:numFmt w:val="bullet"/>
      <w:lvlText w:val=""/>
      <w:lvlJc w:val="left"/>
      <w:pPr>
        <w:ind w:left="4286" w:hanging="420"/>
      </w:pPr>
      <w:rPr>
        <w:rFonts w:ascii="Wingdings" w:hAnsi="Wingdings" w:hint="default"/>
      </w:rPr>
    </w:lvl>
    <w:lvl w:ilvl="6" w:tplc="04090001" w:tentative="1">
      <w:start w:val="1"/>
      <w:numFmt w:val="bullet"/>
      <w:lvlText w:val=""/>
      <w:lvlJc w:val="left"/>
      <w:pPr>
        <w:ind w:left="4706" w:hanging="420"/>
      </w:pPr>
      <w:rPr>
        <w:rFonts w:ascii="Wingdings" w:hAnsi="Wingdings" w:hint="default"/>
      </w:rPr>
    </w:lvl>
    <w:lvl w:ilvl="7" w:tplc="04090003" w:tentative="1">
      <w:start w:val="1"/>
      <w:numFmt w:val="bullet"/>
      <w:lvlText w:val=""/>
      <w:lvlJc w:val="left"/>
      <w:pPr>
        <w:ind w:left="5126" w:hanging="420"/>
      </w:pPr>
      <w:rPr>
        <w:rFonts w:ascii="Wingdings" w:hAnsi="Wingdings" w:hint="default"/>
      </w:rPr>
    </w:lvl>
    <w:lvl w:ilvl="8" w:tplc="04090005" w:tentative="1">
      <w:start w:val="1"/>
      <w:numFmt w:val="bullet"/>
      <w:lvlText w:val=""/>
      <w:lvlJc w:val="left"/>
      <w:pPr>
        <w:ind w:left="5546" w:hanging="420"/>
      </w:pPr>
      <w:rPr>
        <w:rFonts w:ascii="Wingdings" w:hAnsi="Wingdings" w:hint="default"/>
      </w:rPr>
    </w:lvl>
  </w:abstractNum>
  <w:abstractNum w:abstractNumId="2">
    <w:nsid w:val="5FD710F0"/>
    <w:multiLevelType w:val="hybridMultilevel"/>
    <w:tmpl w:val="0706F12C"/>
    <w:lvl w:ilvl="0" w:tplc="89B45C9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06B7"/>
    <w:rsid w:val="000006B7"/>
    <w:rsid w:val="00106A99"/>
    <w:rsid w:val="001161BF"/>
    <w:rsid w:val="001A79F1"/>
    <w:rsid w:val="001B5F1E"/>
    <w:rsid w:val="001C14E2"/>
    <w:rsid w:val="001F3D2C"/>
    <w:rsid w:val="00241D81"/>
    <w:rsid w:val="002B557A"/>
    <w:rsid w:val="003847D8"/>
    <w:rsid w:val="00396938"/>
    <w:rsid w:val="003A54DA"/>
    <w:rsid w:val="003C3E5E"/>
    <w:rsid w:val="003D208D"/>
    <w:rsid w:val="004E27E3"/>
    <w:rsid w:val="00517857"/>
    <w:rsid w:val="00572F72"/>
    <w:rsid w:val="006068AD"/>
    <w:rsid w:val="00617763"/>
    <w:rsid w:val="006C2A94"/>
    <w:rsid w:val="006C6FDE"/>
    <w:rsid w:val="00775C06"/>
    <w:rsid w:val="007C77FC"/>
    <w:rsid w:val="007D78AD"/>
    <w:rsid w:val="009424A4"/>
    <w:rsid w:val="009F1424"/>
    <w:rsid w:val="00A76342"/>
    <w:rsid w:val="00AE32F8"/>
    <w:rsid w:val="00B0246B"/>
    <w:rsid w:val="00B750B3"/>
    <w:rsid w:val="00BC72A1"/>
    <w:rsid w:val="00CA5441"/>
    <w:rsid w:val="00CC44F2"/>
    <w:rsid w:val="00CD4D18"/>
    <w:rsid w:val="00CF48F6"/>
    <w:rsid w:val="00DF31B2"/>
    <w:rsid w:val="00E3779D"/>
    <w:rsid w:val="00E60601"/>
    <w:rsid w:val="00E93269"/>
    <w:rsid w:val="00F364D2"/>
    <w:rsid w:val="00F74FDC"/>
    <w:rsid w:val="00FA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pPr>
        <w:ind w:firstLineChars="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42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F48F6"/>
    <w:pPr>
      <w:widowControl/>
      <w:pBdr>
        <w:bottom w:val="single" w:sz="4" w:space="1" w:color="auto"/>
      </w:pBdr>
      <w:tabs>
        <w:tab w:val="center" w:pos="4536"/>
        <w:tab w:val="right" w:pos="9072"/>
      </w:tabs>
      <w:overflowPunct w:val="0"/>
      <w:autoSpaceDE w:val="0"/>
      <w:autoSpaceDN w:val="0"/>
      <w:adjustRightInd w:val="0"/>
      <w:ind w:firstLineChars="0"/>
      <w:textAlignment w:val="baseline"/>
    </w:pPr>
    <w:rPr>
      <w:rFonts w:ascii="Arial" w:eastAsia="隶书" w:hAnsi="Arial"/>
      <w:sz w:val="24"/>
      <w:lang w:val="de-CH"/>
    </w:rPr>
  </w:style>
  <w:style w:type="character" w:customStyle="1" w:styleId="Char">
    <w:name w:val="页眉 Char"/>
    <w:basedOn w:val="a0"/>
    <w:link w:val="a3"/>
    <w:uiPriority w:val="99"/>
    <w:rsid w:val="00CF48F6"/>
    <w:rPr>
      <w:rFonts w:ascii="Arial" w:eastAsia="隶书" w:hAnsi="Arial"/>
      <w:sz w:val="24"/>
      <w:lang w:val="de-CH"/>
    </w:rPr>
  </w:style>
  <w:style w:type="paragraph" w:styleId="a4">
    <w:name w:val="footer"/>
    <w:basedOn w:val="a"/>
    <w:link w:val="Char0"/>
    <w:uiPriority w:val="99"/>
    <w:unhideWhenUsed/>
    <w:rsid w:val="000006B7"/>
    <w:pPr>
      <w:tabs>
        <w:tab w:val="center" w:pos="4153"/>
        <w:tab w:val="right" w:pos="8306"/>
      </w:tabs>
      <w:snapToGrid w:val="0"/>
    </w:pPr>
    <w:rPr>
      <w:sz w:val="18"/>
      <w:szCs w:val="18"/>
    </w:rPr>
  </w:style>
  <w:style w:type="character" w:customStyle="1" w:styleId="Char0">
    <w:name w:val="页脚 Char"/>
    <w:basedOn w:val="a0"/>
    <w:link w:val="a4"/>
    <w:uiPriority w:val="99"/>
    <w:rsid w:val="000006B7"/>
    <w:rPr>
      <w:sz w:val="18"/>
      <w:szCs w:val="18"/>
    </w:rPr>
  </w:style>
  <w:style w:type="paragraph" w:styleId="a5">
    <w:name w:val="Balloon Text"/>
    <w:basedOn w:val="a"/>
    <w:link w:val="Char1"/>
    <w:uiPriority w:val="99"/>
    <w:semiHidden/>
    <w:unhideWhenUsed/>
    <w:rsid w:val="000006B7"/>
    <w:rPr>
      <w:sz w:val="18"/>
      <w:szCs w:val="18"/>
    </w:rPr>
  </w:style>
  <w:style w:type="character" w:customStyle="1" w:styleId="Char1">
    <w:name w:val="批注框文本 Char"/>
    <w:basedOn w:val="a0"/>
    <w:link w:val="a5"/>
    <w:uiPriority w:val="99"/>
    <w:semiHidden/>
    <w:rsid w:val="000006B7"/>
    <w:rPr>
      <w:sz w:val="18"/>
      <w:szCs w:val="18"/>
    </w:rPr>
  </w:style>
  <w:style w:type="paragraph" w:styleId="a6">
    <w:name w:val="Plain Text"/>
    <w:basedOn w:val="a"/>
    <w:link w:val="Char2"/>
    <w:rsid w:val="000006B7"/>
    <w:pPr>
      <w:ind w:firstLineChars="0"/>
      <w:jc w:val="both"/>
    </w:pPr>
    <w:rPr>
      <w:rFonts w:ascii="宋体" w:hAnsi="Courier New" w:cs="Courier New"/>
      <w:sz w:val="21"/>
      <w:szCs w:val="21"/>
    </w:rPr>
  </w:style>
  <w:style w:type="character" w:customStyle="1" w:styleId="Char2">
    <w:name w:val="纯文本 Char"/>
    <w:basedOn w:val="a0"/>
    <w:link w:val="a6"/>
    <w:rsid w:val="000006B7"/>
    <w:rPr>
      <w:rFonts w:ascii="宋体" w:hAnsi="Courier New" w:cs="Courier New"/>
      <w:sz w:val="21"/>
      <w:szCs w:val="21"/>
    </w:rPr>
  </w:style>
  <w:style w:type="table" w:styleId="a7">
    <w:name w:val="Table Grid"/>
    <w:basedOn w:val="a1"/>
    <w:uiPriority w:val="59"/>
    <w:rsid w:val="00775C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GSAGParagraph">
    <w:name w:val="GSAG Paragraph"/>
    <w:basedOn w:val="a"/>
    <w:link w:val="GSAGParagraphChar"/>
    <w:rsid w:val="00775C06"/>
    <w:pPr>
      <w:widowControl/>
      <w:overflowPunct w:val="0"/>
      <w:autoSpaceDE w:val="0"/>
      <w:autoSpaceDN w:val="0"/>
      <w:adjustRightInd w:val="0"/>
      <w:spacing w:before="240" w:line="280" w:lineRule="atLeast"/>
      <w:ind w:firstLineChars="0"/>
      <w:textAlignment w:val="baseline"/>
    </w:pPr>
    <w:rPr>
      <w:rFonts w:eastAsia="MS Mincho"/>
      <w:kern w:val="0"/>
      <w:sz w:val="22"/>
      <w:lang w:val="en-GB" w:eastAsia="ja-JP"/>
    </w:rPr>
  </w:style>
  <w:style w:type="paragraph" w:customStyle="1" w:styleId="GSAGHeading3">
    <w:name w:val="GSAG Heading 3"/>
    <w:basedOn w:val="a"/>
    <w:rsid w:val="00775C06"/>
    <w:pPr>
      <w:widowControl/>
      <w:overflowPunct w:val="0"/>
      <w:autoSpaceDE w:val="0"/>
      <w:autoSpaceDN w:val="0"/>
      <w:adjustRightInd w:val="0"/>
      <w:spacing w:before="80" w:after="100" w:line="260" w:lineRule="atLeast"/>
      <w:ind w:firstLineChars="0"/>
      <w:textAlignment w:val="baseline"/>
    </w:pPr>
    <w:rPr>
      <w:rFonts w:ascii="Arial" w:eastAsia="MS Mincho" w:hAnsi="Arial"/>
      <w:b/>
      <w:kern w:val="0"/>
      <w:lang w:val="en-GB" w:eastAsia="ja-JP"/>
    </w:rPr>
  </w:style>
  <w:style w:type="character" w:customStyle="1" w:styleId="GSAGParagraphChar">
    <w:name w:val="GSAG Paragraph Char"/>
    <w:basedOn w:val="a0"/>
    <w:link w:val="GSAGParagraph"/>
    <w:rsid w:val="00775C06"/>
    <w:rPr>
      <w:rFonts w:eastAsia="MS Mincho"/>
      <w:kern w:val="0"/>
      <w:sz w:val="22"/>
      <w:lang w:val="en-GB" w:eastAsia="ja-JP"/>
    </w:rPr>
  </w:style>
  <w:style w:type="paragraph" w:customStyle="1" w:styleId="GSAGBullet">
    <w:name w:val="GSAG Bullet"/>
    <w:basedOn w:val="a"/>
    <w:rsid w:val="009424A4"/>
    <w:pPr>
      <w:widowControl/>
      <w:tabs>
        <w:tab w:val="num" w:pos="360"/>
      </w:tabs>
      <w:overflowPunct w:val="0"/>
      <w:autoSpaceDE w:val="0"/>
      <w:autoSpaceDN w:val="0"/>
      <w:adjustRightInd w:val="0"/>
      <w:spacing w:before="240" w:line="280" w:lineRule="atLeast"/>
      <w:ind w:left="357" w:firstLineChars="0" w:hanging="357"/>
      <w:textAlignment w:val="baseline"/>
    </w:pPr>
    <w:rPr>
      <w:rFonts w:eastAsia="MS Mincho"/>
      <w:kern w:val="0"/>
      <w:sz w:val="22"/>
      <w:lang w:val="en-GB" w:eastAsia="ja-JP"/>
    </w:rPr>
  </w:style>
  <w:style w:type="paragraph" w:customStyle="1" w:styleId="liin1">
    <w:name w:val="li in 1"/>
    <w:basedOn w:val="a"/>
    <w:rsid w:val="009424A4"/>
    <w:pPr>
      <w:widowControl/>
      <w:overflowPunct w:val="0"/>
      <w:autoSpaceDE w:val="0"/>
      <w:autoSpaceDN w:val="0"/>
      <w:adjustRightInd w:val="0"/>
      <w:spacing w:before="140" w:line="220" w:lineRule="atLeast"/>
      <w:ind w:left="720" w:firstLineChars="0" w:hanging="360"/>
      <w:textAlignment w:val="baseline"/>
    </w:pPr>
    <w:rPr>
      <w:rFonts w:ascii="Times" w:eastAsia="Times New Roman" w:hAnsi="Times"/>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china</cp:lastModifiedBy>
  <cp:revision>17</cp:revision>
  <dcterms:created xsi:type="dcterms:W3CDTF">2012-11-08T09:19:00Z</dcterms:created>
  <dcterms:modified xsi:type="dcterms:W3CDTF">2014-01-10T03:00:00Z</dcterms:modified>
</cp:coreProperties>
</file>