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850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1854"/>
        <w:gridCol w:w="1411"/>
        <w:gridCol w:w="1415"/>
        <w:gridCol w:w="860"/>
        <w:gridCol w:w="1421"/>
      </w:tblGrid>
      <w:tr>
        <w:trPr>
          <w:trHeight w:val="457" w:hRule="atLeast"/>
          <w:cantSplit w:val="true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被审计单位：</w:t>
            </w:r>
          </w:p>
        </w:tc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索引号：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  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页次：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462" w:hRule="atLeast"/>
          <w:cantSplit w:val="true"/>
        </w:trPr>
        <w:tc>
          <w:tcPr>
            <w:tcW w:w="1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cs="Arial" w:ascii="Arial" w:hAnsi="Arial"/>
                <w:szCs w:val="21"/>
              </w:rPr>
            </w:r>
          </w:p>
        </w:tc>
        <w:tc>
          <w:tcPr>
            <w:tcW w:w="1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编制人：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财务报表截止日</w:t>
            </w:r>
            <w:r>
              <w:rPr>
                <w:rFonts w:cs="Arial" w:ascii="Arial" w:hAnsi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期间：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复核人：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spacing w:lineRule="exact" w:line="44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ascii="Arial" w:hAnsi="Arial" w:cs="Arial"/>
          <w:b/>
          <w:sz w:val="24"/>
        </w:rPr>
        <w:t>预警备忘录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</w:rPr>
      </w:pPr>
      <w:r>
        <w:rPr>
          <w:rFonts w:ascii="Arial" w:hAnsi="Arial" w:cs="Arial"/>
          <w:color w:val="0000FF"/>
          <w:szCs w:val="21"/>
        </w:rPr>
        <w:t>编制说明：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</w:rPr>
      </w:pPr>
      <w:r>
        <w:rPr>
          <w:rFonts w:ascii="Arial" w:hAnsi="Arial" w:cs="Arial"/>
          <w:color w:val="0000FF"/>
          <w:szCs w:val="21"/>
        </w:rPr>
        <w:t>本备忘录应包括但不限于以下事项：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</w:rPr>
        <w:t>1</w:t>
      </w:r>
      <w:r>
        <w:rPr>
          <w:rFonts w:ascii="Arial" w:hAnsi="Arial" w:cs="Arial"/>
          <w:color w:val="0000FF"/>
          <w:szCs w:val="21"/>
        </w:rPr>
        <w:t>、</w:t>
      </w:r>
      <w:r>
        <w:rPr>
          <w:rFonts w:ascii="Arial" w:hAnsi="Arial" w:cs="Arial"/>
          <w:color w:val="0000FF"/>
          <w:szCs w:val="21"/>
          <w:lang w:val="en-GB"/>
        </w:rPr>
        <w:t>在表中列示的特殊审计或审阅工作的结果（只适用于有特殊考虑的审计程序或审阅工作）。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</w:rPr>
        <w:t>2</w:t>
      </w:r>
      <w:r>
        <w:rPr>
          <w:rFonts w:ascii="Arial" w:hAnsi="Arial" w:cs="Arial"/>
          <w:color w:val="0000FF"/>
          <w:szCs w:val="21"/>
        </w:rPr>
        <w:t>、</w:t>
      </w:r>
      <w:r>
        <w:rPr>
          <w:rFonts w:ascii="Arial" w:hAnsi="Arial" w:cs="Arial"/>
          <w:color w:val="0000FF"/>
          <w:szCs w:val="21"/>
          <w:lang w:val="en-GB"/>
        </w:rPr>
        <w:t>导致注册会计师和管理人员意见不一致的重要会计问题，该问题有可能导致保留意见。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</w:rPr>
        <w:t>3</w:t>
      </w:r>
      <w:r>
        <w:rPr>
          <w:rFonts w:ascii="Arial" w:hAnsi="Arial" w:cs="Arial"/>
          <w:color w:val="0000FF"/>
          <w:szCs w:val="21"/>
        </w:rPr>
        <w:t>、</w:t>
      </w:r>
      <w:r>
        <w:rPr>
          <w:rFonts w:ascii="Arial" w:hAnsi="Arial" w:cs="Arial"/>
          <w:color w:val="0000FF"/>
          <w:szCs w:val="21"/>
          <w:lang w:val="en-GB"/>
        </w:rPr>
        <w:t>重大的调整事项。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  <w:lang w:val="en-GB"/>
        </w:rPr>
        <w:t>4</w:t>
      </w:r>
      <w:r>
        <w:rPr>
          <w:rFonts w:ascii="Arial" w:hAnsi="Arial" w:cs="Arial"/>
          <w:color w:val="0000FF"/>
          <w:szCs w:val="21"/>
          <w:lang w:val="en-GB"/>
        </w:rPr>
        <w:t>、难以评估确定的价值。</w:t>
      </w:r>
    </w:p>
    <w:p>
      <w:pPr>
        <w:pStyle w:val="Normal"/>
        <w:autoSpaceDE w:val="false"/>
        <w:spacing w:lineRule="exact" w:line="400"/>
        <w:ind w:firstLine="420"/>
        <w:rPr>
          <w:rFonts w:ascii="Arial" w:hAnsi="Arial" w:cs="Arial"/>
          <w:b/>
          <w:b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  <w:lang w:val="en-GB"/>
        </w:rPr>
        <w:t>5</w:t>
      </w:r>
      <w:r>
        <w:rPr>
          <w:rFonts w:ascii="Arial" w:hAnsi="Arial" w:cs="Arial"/>
          <w:color w:val="0000FF"/>
          <w:szCs w:val="21"/>
          <w:lang w:val="en-GB"/>
        </w:rPr>
        <w:t>、税务及其他法律事项。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  <w:lang w:val="en-GB"/>
        </w:rPr>
        <w:t>6</w:t>
      </w:r>
      <w:r>
        <w:rPr>
          <w:rFonts w:ascii="Arial" w:hAnsi="Arial" w:cs="Arial"/>
          <w:color w:val="0000FF"/>
          <w:szCs w:val="21"/>
          <w:lang w:val="en-GB"/>
        </w:rPr>
        <w:t>、特殊和难以确定的预计负债。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  <w:lang w:val="en-GB"/>
        </w:rPr>
        <w:t>7</w:t>
      </w:r>
      <w:r>
        <w:rPr>
          <w:rFonts w:ascii="Arial" w:hAnsi="Arial" w:cs="Arial"/>
          <w:color w:val="0000FF"/>
          <w:szCs w:val="21"/>
          <w:lang w:val="en-GB"/>
        </w:rPr>
        <w:t>、与集团公司报告要求不一致的事项。</w:t>
      </w:r>
    </w:p>
    <w:p>
      <w:pPr>
        <w:pStyle w:val="Normal"/>
        <w:widowControl/>
        <w:tabs>
          <w:tab w:val="left" w:pos="597" w:leader="none"/>
          <w:tab w:val="left" w:pos="720" w:leader="none"/>
          <w:tab w:val="left" w:pos="1701" w:leader="none"/>
          <w:tab w:val="left" w:pos="2880" w:leader="none"/>
          <w:tab w:val="left" w:pos="3600" w:leader="none"/>
          <w:tab w:val="left" w:pos="3886" w:leader="none"/>
          <w:tab w:val="left" w:pos="4321" w:leader="none"/>
          <w:tab w:val="left" w:pos="5041" w:leader="none"/>
          <w:tab w:val="left" w:pos="5182" w:leader="none"/>
          <w:tab w:val="left" w:pos="5761" w:leader="none"/>
          <w:tab w:val="left" w:pos="6478" w:leader="none"/>
          <w:tab w:val="left" w:pos="7201" w:leader="none"/>
          <w:tab w:val="left" w:pos="7774" w:leader="none"/>
          <w:tab w:val="left" w:pos="7921" w:leader="none"/>
          <w:tab w:val="left" w:pos="9070" w:leader="none"/>
        </w:tabs>
        <w:spacing w:lineRule="exact" w:line="400"/>
        <w:ind w:left="1" w:firstLine="420"/>
        <w:jc w:val="left"/>
        <w:rPr>
          <w:rFonts w:ascii="Arial" w:hAnsi="Arial" w:cs="Arial"/>
          <w:color w:val="0000FF"/>
          <w:szCs w:val="21"/>
          <w:lang w:val="en-GB"/>
        </w:rPr>
      </w:pPr>
      <w:r>
        <w:rPr>
          <w:rFonts w:cs="Arial" w:ascii="Arial" w:hAnsi="Arial"/>
          <w:color w:val="0000FF"/>
          <w:szCs w:val="21"/>
          <w:lang w:val="en-GB"/>
        </w:rPr>
        <w:t>8</w:t>
      </w:r>
      <w:r>
        <w:rPr>
          <w:rFonts w:ascii="Arial" w:hAnsi="Arial" w:cs="Arial"/>
          <w:color w:val="0000FF"/>
          <w:szCs w:val="21"/>
          <w:lang w:val="en-GB"/>
        </w:rPr>
        <w:t>、任何影响年末报告期限的事项。</w:t>
      </w:r>
    </w:p>
    <w:p>
      <w:pPr>
        <w:pStyle w:val="Header"/>
        <w:spacing w:lineRule="exact" w:line="400"/>
        <w:ind w:firstLine="420"/>
        <w:rPr>
          <w:rFonts w:ascii="Arial" w:hAnsi="Arial" w:cs="Arial"/>
          <w:color w:val="0000FF"/>
          <w:sz w:val="21"/>
          <w:szCs w:val="21"/>
          <w:lang w:val="en-GB" w:eastAsia="zh-CN"/>
        </w:rPr>
      </w:pPr>
      <w:r>
        <w:rPr>
          <w:rFonts w:cs="Arial" w:ascii="Arial" w:hAnsi="Arial"/>
          <w:color w:val="0000FF"/>
          <w:sz w:val="21"/>
          <w:szCs w:val="21"/>
          <w:lang w:val="en-GB" w:eastAsia="zh-CN"/>
        </w:rPr>
        <w:t>9</w:t>
      </w:r>
      <w:r>
        <w:rPr>
          <w:rFonts w:ascii="Arial" w:hAnsi="Arial" w:cs="Arial"/>
          <w:color w:val="0000FF"/>
          <w:sz w:val="21"/>
          <w:szCs w:val="21"/>
          <w:lang w:val="en-GB" w:eastAsia="zh-CN"/>
        </w:rPr>
        <w:t>、</w:t>
      </w:r>
      <w:r>
        <w:rPr>
          <w:rFonts w:ascii="Arial" w:hAnsi="Arial" w:cs="Arial"/>
          <w:color w:val="0000FF"/>
          <w:sz w:val="21"/>
          <w:szCs w:val="21"/>
          <w:lang w:val="en-GB" w:eastAsia="zh-CN"/>
        </w:rPr>
        <w:t>对于损益表和资产负债表科目的分析性复核发现事项。</w:t>
      </w:r>
    </w:p>
    <w:p>
      <w:pPr>
        <w:pStyle w:val="Header"/>
        <w:spacing w:lineRule="exact" w:line="400"/>
        <w:ind w:firstLine="420"/>
        <w:rPr>
          <w:rFonts w:ascii="Arial" w:hAnsi="Arial" w:cs="Arial"/>
          <w:color w:val="0000FF"/>
          <w:sz w:val="21"/>
          <w:szCs w:val="21"/>
          <w:lang w:val="en-GB" w:eastAsia="zh-CN"/>
        </w:rPr>
      </w:pPr>
      <w:r>
        <w:rPr>
          <w:rFonts w:cs="Arial" w:ascii="Arial" w:hAnsi="Arial"/>
          <w:color w:val="0000FF"/>
          <w:sz w:val="21"/>
          <w:szCs w:val="21"/>
          <w:lang w:val="en-GB" w:eastAsia="zh-CN"/>
        </w:rPr>
        <w:t>10</w:t>
      </w:r>
      <w:r>
        <w:rPr>
          <w:rFonts w:ascii="Arial" w:hAnsi="Arial" w:cs="Arial"/>
          <w:color w:val="0000FF"/>
          <w:sz w:val="21"/>
          <w:szCs w:val="21"/>
          <w:lang w:val="en-GB" w:eastAsia="zh-CN"/>
        </w:rPr>
        <w:t>、针对持续经营能力产生重大疑虑的事项。</w:t>
      </w:r>
    </w:p>
    <w:p>
      <w:pPr>
        <w:pStyle w:val="Header"/>
        <w:spacing w:lineRule="exact" w:line="400"/>
        <w:ind w:firstLine="420"/>
        <w:rPr>
          <w:rFonts w:ascii="Arial" w:hAnsi="Arial" w:cs="Arial"/>
          <w:color w:val="0000FF"/>
          <w:sz w:val="21"/>
          <w:szCs w:val="21"/>
          <w:lang w:val="en-GB" w:eastAsia="zh-CN"/>
        </w:rPr>
      </w:pPr>
      <w:r>
        <w:rPr>
          <w:rFonts w:ascii="Arial" w:hAnsi="Arial" w:cs="Arial"/>
          <w:color w:val="0000FF"/>
          <w:sz w:val="21"/>
          <w:szCs w:val="21"/>
          <w:lang w:val="en-GB" w:eastAsia="zh-CN"/>
        </w:rPr>
        <w:t>【此报告需负责经理及负责合伙人复核并确认后，以电子邮件或其他形式发给主审会计师</w:t>
      </w:r>
      <w:r>
        <w:rPr>
          <w:rFonts w:cs="Arial" w:ascii="Arial" w:hAnsi="Arial"/>
          <w:color w:val="0000FF"/>
          <w:sz w:val="21"/>
          <w:szCs w:val="21"/>
          <w:lang w:val="en-GB" w:eastAsia="zh-CN"/>
        </w:rPr>
        <w:t>]</w:t>
      </w:r>
      <w:r>
        <w:rPr>
          <w:rFonts w:ascii="Arial" w:hAnsi="Arial" w:cs="Arial"/>
          <w:color w:val="0000FF"/>
          <w:sz w:val="21"/>
          <w:szCs w:val="21"/>
          <w:lang w:val="en-GB" w:eastAsia="zh-CN"/>
        </w:rPr>
        <w:t>】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集团公司名称：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财务报表日期：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主审会计师事务所：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主审项目合伙人：</w:t>
      </w:r>
    </w:p>
    <w:tbl>
      <w:tblPr>
        <w:tblW w:w="8934" w:type="dxa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81"/>
        <w:gridCol w:w="2942"/>
        <w:gridCol w:w="1711"/>
      </w:tblGrid>
      <w:tr>
        <w:trPr>
          <w:tblHeader w:val="true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9CCFF" w:val="clear"/>
            <w:tcMar>
              <w:left w:w="103" w:type="dxa"/>
            </w:tcMar>
          </w:tcPr>
          <w:p>
            <w:pPr>
              <w:pStyle w:val="FRDChartTitle"/>
              <w:tabs>
                <w:tab w:val="center" w:pos="2115" w:leader="none"/>
                <w:tab w:val="left" w:pos="3105" w:leader="none"/>
              </w:tabs>
              <w:spacing w:lineRule="auto" w:line="240" w:before="0" w:after="0"/>
              <w:rPr>
                <w:rFonts w:ascii="Arial" w:hAnsi="Arial" w:eastAsia="宋体;SimSun" w:cs="Arial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 w:eastAsia="宋体;SimSun"/>
                <w:b/>
                <w:color w:val="000000"/>
                <w:sz w:val="21"/>
                <w:szCs w:val="21"/>
                <w:lang w:eastAsia="zh-CN"/>
              </w:rPr>
              <w:t>问题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99CCFF" w:val="clear"/>
            <w:tcMar>
              <w:left w:w="103" w:type="dxa"/>
            </w:tcMar>
          </w:tcPr>
          <w:p>
            <w:pPr>
              <w:pStyle w:val="FRDChartTitle"/>
              <w:spacing w:lineRule="auto" w:line="240" w:before="0" w:after="0"/>
              <w:rPr>
                <w:rFonts w:ascii="Arial" w:hAnsi="Arial" w:eastAsia="宋体;SimSun" w:cs="Arial"/>
                <w:b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eastAsia="宋体;SimSun"/>
                <w:b/>
                <w:color w:val="000000"/>
                <w:sz w:val="21"/>
                <w:szCs w:val="21"/>
                <w:lang w:eastAsia="zh-CN"/>
              </w:rPr>
              <w:t>必要措施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99CCFF" w:val="clear"/>
            <w:tcMar>
              <w:left w:w="103" w:type="dxa"/>
            </w:tcMar>
          </w:tcPr>
          <w:p>
            <w:pPr>
              <w:pStyle w:val="FRDChartTitle"/>
              <w:spacing w:lineRule="auto" w:line="240" w:before="0" w:after="0"/>
              <w:rPr>
                <w:rFonts w:ascii="Arial" w:hAnsi="Arial" w:eastAsia="宋体;SimSun" w:cs="Arial"/>
                <w:b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eastAsia="宋体;SimSun"/>
                <w:b/>
                <w:color w:val="000000"/>
                <w:sz w:val="21"/>
                <w:szCs w:val="21"/>
                <w:lang w:eastAsia="zh-CN"/>
              </w:rPr>
              <w:t>日期</w:t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会计和审计问题</w:t>
            </w:r>
          </w:p>
          <w:p>
            <w:pPr>
              <w:pStyle w:val="FRDChartText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Cs/>
                <w:sz w:val="21"/>
                <w:szCs w:val="21"/>
                <w:lang w:eastAsia="zh-CN"/>
              </w:rPr>
              <w:t>（描述问题的性质及其对合并报告资料可能产生的影响）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异常交易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会计估计（难以评估确定的价值）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会计政策变更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持续经营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诉讼和索赔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潜在年末风险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对于损益表和资产负债表科目的分析性复核发现的事项</w:t>
            </w:r>
          </w:p>
          <w:p>
            <w:pPr>
              <w:pStyle w:val="FRDChartText"/>
              <w:numPr>
                <w:ilvl w:val="0"/>
                <w:numId w:val="1"/>
              </w:numPr>
              <w:tabs>
                <w:tab w:val="left" w:pos="169" w:leader="none"/>
              </w:tabs>
              <w:spacing w:lineRule="auto" w:line="240" w:before="0" w:after="0"/>
              <w:ind w:left="0" w:hanging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sz w:val="21"/>
                <w:szCs w:val="21"/>
                <w:lang w:eastAsia="zh-CN"/>
              </w:rPr>
              <w:t>特殊和难以确定的预计负债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sz w:val="21"/>
                <w:szCs w:val="21"/>
                <w:lang w:eastAsia="zh-CN"/>
              </w:rPr>
              <w:t>与集团公司报告要求不一致的事项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sz w:val="21"/>
                <w:szCs w:val="21"/>
                <w:lang w:eastAsia="zh-CN"/>
              </w:rPr>
              <w:t>重大调整事项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eastAsia="宋体;SimSun" w:cs="Arial"/>
                <w:sz w:val="21"/>
                <w:szCs w:val="21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597" w:leader="none"/>
                <w:tab w:val="left" w:pos="720" w:leader="none"/>
                <w:tab w:val="left" w:pos="1701" w:leader="none"/>
                <w:tab w:val="left" w:pos="2880" w:leader="none"/>
                <w:tab w:val="left" w:pos="3600" w:leader="none"/>
                <w:tab w:val="left" w:pos="3886" w:leader="none"/>
                <w:tab w:val="left" w:pos="4321" w:leader="none"/>
                <w:tab w:val="left" w:pos="5041" w:leader="none"/>
                <w:tab w:val="left" w:pos="5182" w:leader="none"/>
                <w:tab w:val="left" w:pos="5761" w:leader="none"/>
                <w:tab w:val="left" w:pos="6478" w:leader="none"/>
                <w:tab w:val="left" w:pos="7201" w:leader="none"/>
                <w:tab w:val="left" w:pos="7774" w:leader="none"/>
                <w:tab w:val="left" w:pos="7921" w:leader="none"/>
                <w:tab w:val="left" w:pos="9070" w:leader="none"/>
              </w:tabs>
              <w:ind w:left="1" w:firstLine="25"/>
              <w:jc w:val="left"/>
              <w:rPr>
                <w:rFonts w:ascii="Arial" w:hAnsi="Arial" w:cs="Arial"/>
                <w:b/>
                <w:b/>
                <w:szCs w:val="21"/>
                <w:lang w:val="en-GB"/>
              </w:rPr>
            </w:pPr>
            <w:r>
              <w:rPr>
                <w:rFonts w:ascii="Arial" w:hAnsi="Arial" w:cs="Arial"/>
                <w:b/>
                <w:szCs w:val="21"/>
                <w:lang w:val="en-GB"/>
              </w:rPr>
              <w:t>难以评估确定的价值</w:t>
            </w:r>
          </w:p>
          <w:p>
            <w:pPr>
              <w:pStyle w:val="FRDChartText"/>
              <w:spacing w:lineRule="auto" w:line="240" w:before="0" w:after="0"/>
              <w:rPr>
                <w:rFonts w:ascii="Arial" w:hAnsi="Arial" w:eastAsia="宋体;SimSun" w:cs="Arial"/>
                <w:b/>
                <w:b/>
                <w:sz w:val="21"/>
                <w:szCs w:val="21"/>
                <w:lang w:val="en-GB" w:eastAsia="zh-CN"/>
              </w:rPr>
            </w:pPr>
            <w:r>
              <w:rPr>
                <w:rFonts w:eastAsia="宋体;SimSun" w:cs="Arial"/>
                <w:b/>
                <w:sz w:val="21"/>
                <w:szCs w:val="21"/>
                <w:lang w:val="en-GB" w:eastAsia="zh-CN"/>
              </w:rPr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eastAsia="宋体;SimSun" w:cs="Arial"/>
                <w:sz w:val="21"/>
                <w:szCs w:val="21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特别风险</w:t>
            </w:r>
          </w:p>
          <w:p>
            <w:pPr>
              <w:pStyle w:val="FRDChartText"/>
              <w:spacing w:lineRule="auto" w:line="240" w:before="0" w:after="0"/>
              <w:rPr>
                <w:rFonts w:eastAsia="宋体;SimSun" w:cs="Arial"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Cs/>
                <w:color w:val="0000FF"/>
                <w:sz w:val="21"/>
                <w:szCs w:val="21"/>
                <w:lang w:eastAsia="zh-CN"/>
              </w:rPr>
              <w:t>描述特别风险的性质和相应的应对程序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Cs/>
                <w:color w:val="0000FF"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表明舞弊存在的信息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eastAsia="宋体;SimSun" w:cs="Arial"/>
                <w:sz w:val="21"/>
                <w:szCs w:val="21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组成部分层面的重大内部控制缺陷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705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之前未识别的关联方</w:t>
            </w:r>
            <w:r>
              <w:rPr>
                <w:rFonts w:cs="Arial" w:eastAsia="Arial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701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计划作出的调整和潜在的报告改动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555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与前期沟通过的内容相矛盾的审计证据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555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针对持续经营能力产生重大疑虑的事项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sz w:val="21"/>
                <w:szCs w:val="21"/>
                <w:lang w:eastAsia="zh-CN"/>
              </w:rPr>
            </w:r>
          </w:p>
        </w:tc>
      </w:tr>
      <w:tr>
        <w:trPr>
          <w:trHeight w:val="555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报告时间表问题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  <w:lang w:eastAsia="zh-CN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eastAsia="宋体;SimSun" w:cs="Arial"/>
                <w:sz w:val="21"/>
                <w:szCs w:val="21"/>
              </w:rPr>
            </w:r>
          </w:p>
        </w:tc>
      </w:tr>
      <w:tr>
        <w:trPr>
          <w:trHeight w:val="1080" w:hRule="atLeast"/>
        </w:trPr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</w:rPr>
            </w:pPr>
            <w:r>
              <w:rPr>
                <w:rFonts w:cs="Arial" w:eastAsia="宋体;SimSun"/>
                <w:b/>
                <w:bCs/>
                <w:sz w:val="21"/>
                <w:szCs w:val="21"/>
                <w:lang w:eastAsia="zh-CN"/>
              </w:rPr>
              <w:t>其他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b/>
                <w:b/>
                <w:bCs/>
                <w:sz w:val="21"/>
                <w:szCs w:val="21"/>
              </w:rPr>
            </w:pPr>
            <w:r>
              <w:rPr>
                <w:rFonts w:eastAsia="宋体;SimSun" w:cs="Arial"/>
                <w:b/>
                <w:bCs/>
                <w:sz w:val="21"/>
                <w:szCs w:val="21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FRDChartText"/>
              <w:snapToGrid w:val="false"/>
              <w:spacing w:lineRule="auto" w:line="240" w:before="0" w:after="0"/>
              <w:rPr>
                <w:rFonts w:eastAsia="宋体;SimSun" w:cs="Arial"/>
                <w:sz w:val="21"/>
                <w:szCs w:val="21"/>
              </w:rPr>
            </w:pPr>
            <w:r>
              <w:rPr>
                <w:rFonts w:eastAsia="宋体;SimSun" w:cs="Arial"/>
                <w:sz w:val="21"/>
                <w:szCs w:val="21"/>
              </w:rPr>
            </w:r>
          </w:p>
        </w:tc>
      </w:tr>
    </w:tbl>
    <w:p>
      <w:pPr>
        <w:pStyle w:val="Normal"/>
        <w:ind w:firstLine="422"/>
        <w:rPr>
          <w:rFonts w:ascii="Arial" w:hAnsi="Arial" w:cs="Arial"/>
          <w:b/>
          <w:b/>
          <w:color w:val="0000FF"/>
          <w:szCs w:val="21"/>
          <w:lang w:val="en-GB"/>
        </w:rPr>
      </w:pPr>
      <w:r>
        <w:rPr>
          <w:rFonts w:cs="Arial" w:ascii="Arial" w:hAnsi="Arial"/>
          <w:b/>
          <w:color w:val="0000FF"/>
          <w:szCs w:val="21"/>
          <w:lang w:val="en-GB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274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宋体">
    <w:altName w:val="SimSun"/>
    <w:charset w:val="86"/>
    <w:family w:val="auto"/>
    <w:pitch w:val="variable"/>
  </w:font>
  <w:font w:name="Liberation Sans">
    <w:altName w:val="Arial"/>
    <w:charset w:val="00"/>
    <w:family w:val="swiss"/>
    <w:pitch w:val="variable"/>
  </w:font>
  <w:font w:name="CG Times">
    <w:charset w:val="00"/>
    <w:family w:val="roman"/>
    <w:pitch w:val="variable"/>
  </w:font>
  <w:font w:name="EY Gothic Cond Demi">
    <w:altName w:val="Arial Unicode MS"/>
    <w:charset w:val="86"/>
    <w:family w:val="auto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6" w:leader="none"/>
        <w:tab w:val="right" w:pos="8832" w:leader="none"/>
      </w:tabs>
      <w:rPr/>
    </w:pPr>
    <w:r>
      <w:rPr>
        <w:rFonts w:cs="Arial" w:ascii="Arial" w:hAnsi="Arial"/>
      </w:rPr>
      <w:t xml:space="preserve">2013.8 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34" w:leader="none"/>
      </w:tabs>
      <w:jc w:val="both"/>
      <w:rPr/>
    </w:pPr>
    <w:r>
      <w:rPr>
        <w:rFonts w:cs="Calibri" w:ascii="Calibri" w:hAnsi="Calibri"/>
        <w:sz w:val="21"/>
        <w:szCs w:val="22"/>
        <w:lang w:val="en-US" w:eastAsia="en-US"/>
      </w:rPr>
      <w:drawing>
        <wp:inline distT="0" distB="0" distL="0" distR="0">
          <wp:extent cx="1925320" cy="25717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u w:val="single"/>
        <w:lang w:eastAsia="zh-CN"/>
      </w:rPr>
      <w:t xml:space="preserve">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FRDTextChar">
    <w:name w:val="FRD Text Char"/>
    <w:qFormat/>
    <w:rPr>
      <w:rFonts w:ascii="Arial" w:hAnsi="Arial" w:eastAsia="MS Mincho;ＭＳ 明朝" w:cs="Arial"/>
      <w:sz w:val="22"/>
    </w:rPr>
  </w:style>
  <w:style w:type="character" w:styleId="Char">
    <w:name w:val="纯文本 Char"/>
    <w:qFormat/>
    <w:rPr>
      <w:rFonts w:ascii="宋体;SimSun" w:hAnsi="宋体;SimSun" w:cs="Courier New"/>
      <w:sz w:val="21"/>
      <w:szCs w:val="21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pPr>
      <w:widowControl/>
    </w:pPr>
    <w:rPr>
      <w:rFonts w:ascii="CG Times" w:hAnsi="CG Times" w:eastAsia="宋体;SimSun" w:cs="CG Times"/>
      <w:color w:val="000000"/>
      <w:sz w:val="24"/>
      <w:szCs w:val="20"/>
      <w:lang w:val="en-US" w:bidi="ar-SA" w:eastAsia="zh-C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widowControl/>
      <w:tabs>
        <w:tab w:val="center" w:pos="4153" w:leader="none"/>
        <w:tab w:val="right" w:pos="8306" w:leader="none"/>
      </w:tabs>
      <w:jc w:val="left"/>
    </w:pPr>
    <w:rPr>
      <w:sz w:val="24"/>
      <w:szCs w:val="20"/>
      <w:lang w:val="fi-F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DChartText">
    <w:name w:val="FRD Chart Text"/>
    <w:basedOn w:val="Normal"/>
    <w:qFormat/>
    <w:pPr>
      <w:widowControl/>
      <w:overflowPunct w:val="false"/>
      <w:autoSpaceDE w:val="false"/>
      <w:spacing w:lineRule="exact" w:line="260" w:before="40" w:after="40"/>
      <w:jc w:val="left"/>
      <w:textAlignment w:val="baseline"/>
    </w:pPr>
    <w:rPr>
      <w:rFonts w:ascii="Arial" w:hAnsi="Arial" w:eastAsia="MS Mincho;ＭＳ 明朝" w:cs="Arial"/>
      <w:sz w:val="20"/>
      <w:szCs w:val="20"/>
    </w:rPr>
  </w:style>
  <w:style w:type="paragraph" w:styleId="FRDChartTitle">
    <w:name w:val="FRD Chart Title"/>
    <w:basedOn w:val="FRDChartText"/>
    <w:qFormat/>
    <w:pPr>
      <w:spacing w:lineRule="exact" w:line="220"/>
      <w:jc w:val="center"/>
    </w:pPr>
    <w:rPr>
      <w:rFonts w:ascii="EY Gothic Cond Demi;Arial Unicode MS" w:hAnsi="EY Gothic Cond Demi;Arial Unicode MS" w:cs="EY Gothic Cond Demi;Arial Unicode MS"/>
      <w:color w:val="000000"/>
    </w:rPr>
  </w:style>
  <w:style w:type="paragraph" w:styleId="FRDText">
    <w:name w:val="FRD Text"/>
    <w:basedOn w:val="Normal"/>
    <w:qFormat/>
    <w:pPr>
      <w:widowControl/>
      <w:overflowPunct w:val="false"/>
      <w:autoSpaceDE w:val="false"/>
      <w:spacing w:lineRule="exact" w:line="280" w:before="0" w:after="120"/>
      <w:jc w:val="left"/>
      <w:textAlignment w:val="baseline"/>
    </w:pPr>
    <w:rPr>
      <w:rFonts w:ascii="Arial" w:hAnsi="Arial" w:eastAsia="MS Mincho;ＭＳ 明朝" w:cs="Arial"/>
      <w:sz w:val="22"/>
      <w:szCs w:val="20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2003-11-12T11:34:00Z</dcterms:created>
  <dc:creator>XYZH USER</dc:creator>
  <dc:description/>
  <dc:language>en-US</dc:language>
  <cp:lastModifiedBy>china</cp:lastModifiedBy>
  <dcterms:modified xsi:type="dcterms:W3CDTF">2014-01-10T02:46:00Z</dcterms:modified>
  <cp:revision>34</cp:revision>
  <dc:subject/>
  <dc:title>[附件五：早期预审报告]</dc:title>
</cp:coreProperties>
</file>