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巨力索具股份有限公司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北京市朝阳区林萃路国家速滑馆北京城建项目部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杨晓燕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13621210399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巨力-发出商品-国内-3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北京城建集团有限责任公司（国家速滑馆高钒封闭索工程）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