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4AF7D" w14:textId="77777777" w:rsidR="004B5825" w:rsidRPr="004B5825" w:rsidRDefault="004B5825" w:rsidP="004B58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825">
        <w:rPr>
          <w:rFonts w:ascii="Times New Roman" w:eastAsia="Times New Roman" w:hAnsi="Times New Roman" w:cs="Times New Roman"/>
          <w:b/>
          <w:bCs/>
          <w:kern w:val="0"/>
          <w:sz w:val="36"/>
          <w:szCs w:val="36"/>
          <w14:ligatures w14:val="none"/>
        </w:rPr>
        <w:t>P1 – AUM Brainstorming Methodology</w:t>
      </w:r>
    </w:p>
    <w:p w14:paraId="286D4459"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H1 – Hypothesis</w:t>
      </w:r>
    </w:p>
    <w:p w14:paraId="02E3E06E"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Providing the AUM brainstorming methodology will improve recall and consistency by explicitly defining the types of domain-specific phrases the LLM should identify.</w:t>
      </w:r>
    </w:p>
    <w:p w14:paraId="7B25841F"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Prompt Modification</w:t>
      </w:r>
    </w:p>
    <w:p w14:paraId="694A80E3"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 modifies the baseline P0 prompt by providing the AUM brainstorming methodology and explicitly identifying the types of domain-specific phrases that should be considered.</w:t>
      </w:r>
    </w:p>
    <w:p w14:paraId="6A3F7D52"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The AUM material identifies the following phrase types:</w:t>
      </w:r>
    </w:p>
    <w:p w14:paraId="20B7B278"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Nouns / noun phrases</w:t>
      </w:r>
    </w:p>
    <w:p w14:paraId="42466CDA"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"X of Y" expressions</w:t>
      </w:r>
    </w:p>
    <w:p w14:paraId="22CAB712"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Transitive verbs</w:t>
      </w:r>
    </w:p>
    <w:p w14:paraId="55DDF924"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Adjectives / enumeration</w:t>
      </w:r>
    </w:p>
    <w:p w14:paraId="3FABBE7B"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Numeric / quantity expressions</w:t>
      </w:r>
    </w:p>
    <w:p w14:paraId="3AB75DCF"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Possession expressions</w:t>
      </w:r>
    </w:p>
    <w:p w14:paraId="2796A1F9"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"Consist of / part of" expressions</w:t>
      </w:r>
    </w:p>
    <w:p w14:paraId="58D083C7"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Containment / containing expressions</w:t>
      </w:r>
    </w:p>
    <w:p w14:paraId="525C5D95" w14:textId="77777777" w:rsidR="004B5825" w:rsidRPr="004B5825" w:rsidRDefault="004B5825" w:rsidP="004B58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"X is a Y" expressions (generalization/specialization)</w:t>
      </w:r>
    </w:p>
    <w:p w14:paraId="3C7EF35F"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P1 Prompt</w:t>
      </w:r>
    </w:p>
    <w:p w14:paraId="6D4B5FF9"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Identify all domain-specific phrases in the provided Library domain description.</w:t>
      </w:r>
    </w:p>
    <w:p w14:paraId="7FADB2D6"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Use the provided Agile Unified Methodology (AUM) material as the methodology for identifying domain-specific phrases.</w:t>
      </w:r>
    </w:p>
    <w:p w14:paraId="45B2C4C9"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According to the AUM brainstorming methodology, identify domain-specific phrases belonging to the following types:</w:t>
      </w:r>
    </w:p>
    <w:p w14:paraId="76343566"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Nouns / noun phrases</w:t>
      </w:r>
    </w:p>
    <w:p w14:paraId="4BF176DA"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"X of Y" expressions</w:t>
      </w:r>
    </w:p>
    <w:p w14:paraId="09695926"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Transitive verbs</w:t>
      </w:r>
    </w:p>
    <w:p w14:paraId="298DB304"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Adjectives / enumeration</w:t>
      </w:r>
    </w:p>
    <w:p w14:paraId="3C195A60"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Numeric / quantity expressions</w:t>
      </w:r>
    </w:p>
    <w:p w14:paraId="33ACD803"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Possession expressions (has/have, possess, etc.)</w:t>
      </w:r>
    </w:p>
    <w:p w14:paraId="08E7BB57"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"Consist of / part of" expressions</w:t>
      </w:r>
    </w:p>
    <w:p w14:paraId="3D0AC0B0"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Containment / containing expressions</w:t>
      </w:r>
    </w:p>
    <w:p w14:paraId="608EEFBC" w14:textId="77777777" w:rsidR="004B5825" w:rsidRPr="004B5825" w:rsidRDefault="004B5825" w:rsidP="004B58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"X is a Y" expressions (generalization/specialization)</w:t>
      </w:r>
    </w:p>
    <w:p w14:paraId="668FEA4B"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Return the identified phrases as a list.</w:t>
      </w:r>
    </w:p>
    <w:p w14:paraId="3A1C27C6"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lastRenderedPageBreak/>
        <w:t>P1 Experimental Procedure</w:t>
      </w:r>
    </w:p>
    <w:p w14:paraId="652E9950"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The P1 prompt was executed three independent times using the same Library domain description and the same AUM methodology material.</w:t>
      </w:r>
    </w:p>
    <w:p w14:paraId="47BC8FB8"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 xml:space="preserve">The </w:t>
      </w:r>
      <w:proofErr w:type="gramStart"/>
      <w:r w:rsidRPr="004B5825">
        <w:rPr>
          <w:rFonts w:ascii="Times New Roman" w:eastAsia="Times New Roman" w:hAnsi="Times New Roman" w:cs="Times New Roman"/>
          <w:kern w:val="0"/>
          <w14:ligatures w14:val="none"/>
        </w:rPr>
        <w:t>Library</w:t>
      </w:r>
      <w:proofErr w:type="gramEnd"/>
      <w:r w:rsidRPr="004B5825">
        <w:rPr>
          <w:rFonts w:ascii="Times New Roman" w:eastAsia="Times New Roman" w:hAnsi="Times New Roman" w:cs="Times New Roman"/>
          <w:kern w:val="0"/>
          <w14:ligatures w14:val="none"/>
        </w:rPr>
        <w:t xml:space="preserve"> expert solution was not provided to the LLM. It was used only to evaluate the generated results.</w:t>
      </w:r>
    </w:p>
    <w:p w14:paraId="27E250C6"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P1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521"/>
        <w:gridCol w:w="1027"/>
        <w:gridCol w:w="940"/>
        <w:gridCol w:w="875"/>
      </w:tblGrid>
      <w:tr w:rsidR="004B5825" w:rsidRPr="004B5825" w14:paraId="7B763198" w14:textId="77777777" w:rsidTr="004B5825">
        <w:trPr>
          <w:tblCellSpacing w:w="15" w:type="dxa"/>
        </w:trPr>
        <w:tc>
          <w:tcPr>
            <w:tcW w:w="0" w:type="auto"/>
            <w:vAlign w:val="center"/>
            <w:hideMark/>
          </w:tcPr>
          <w:p w14:paraId="304187FC"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Prompt</w:t>
            </w:r>
          </w:p>
        </w:tc>
        <w:tc>
          <w:tcPr>
            <w:tcW w:w="0" w:type="auto"/>
            <w:vAlign w:val="center"/>
            <w:hideMark/>
          </w:tcPr>
          <w:p w14:paraId="5D0A9008"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Run</w:t>
            </w:r>
          </w:p>
        </w:tc>
        <w:tc>
          <w:tcPr>
            <w:tcW w:w="0" w:type="auto"/>
            <w:vAlign w:val="center"/>
            <w:hideMark/>
          </w:tcPr>
          <w:p w14:paraId="794479AA"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Precision</w:t>
            </w:r>
          </w:p>
        </w:tc>
        <w:tc>
          <w:tcPr>
            <w:tcW w:w="0" w:type="auto"/>
            <w:vAlign w:val="center"/>
            <w:hideMark/>
          </w:tcPr>
          <w:p w14:paraId="52FC6B23"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Recall</w:t>
            </w:r>
          </w:p>
        </w:tc>
        <w:tc>
          <w:tcPr>
            <w:tcW w:w="0" w:type="auto"/>
            <w:vAlign w:val="center"/>
            <w:hideMark/>
          </w:tcPr>
          <w:p w14:paraId="38A70BA3"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F1</w:t>
            </w:r>
          </w:p>
        </w:tc>
      </w:tr>
      <w:tr w:rsidR="004B5825" w:rsidRPr="004B5825" w14:paraId="4D17CAAB" w14:textId="77777777" w:rsidTr="004B5825">
        <w:trPr>
          <w:tblCellSpacing w:w="15" w:type="dxa"/>
        </w:trPr>
        <w:tc>
          <w:tcPr>
            <w:tcW w:w="0" w:type="auto"/>
            <w:vAlign w:val="center"/>
            <w:hideMark/>
          </w:tcPr>
          <w:p w14:paraId="00599C11"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w:t>
            </w:r>
          </w:p>
        </w:tc>
        <w:tc>
          <w:tcPr>
            <w:tcW w:w="0" w:type="auto"/>
            <w:vAlign w:val="center"/>
            <w:hideMark/>
          </w:tcPr>
          <w:p w14:paraId="08C4F7CB"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1</w:t>
            </w:r>
          </w:p>
        </w:tc>
        <w:tc>
          <w:tcPr>
            <w:tcW w:w="0" w:type="auto"/>
            <w:vAlign w:val="center"/>
            <w:hideMark/>
          </w:tcPr>
          <w:p w14:paraId="0762E265"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78.57%</w:t>
            </w:r>
          </w:p>
        </w:tc>
        <w:tc>
          <w:tcPr>
            <w:tcW w:w="0" w:type="auto"/>
            <w:vAlign w:val="center"/>
            <w:hideMark/>
          </w:tcPr>
          <w:p w14:paraId="7793EEA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100.00%</w:t>
            </w:r>
          </w:p>
        </w:tc>
        <w:tc>
          <w:tcPr>
            <w:tcW w:w="0" w:type="auto"/>
            <w:vAlign w:val="center"/>
            <w:hideMark/>
          </w:tcPr>
          <w:p w14:paraId="013799E6"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88.00%</w:t>
            </w:r>
          </w:p>
        </w:tc>
      </w:tr>
      <w:tr w:rsidR="004B5825" w:rsidRPr="004B5825" w14:paraId="4D3D0075" w14:textId="77777777" w:rsidTr="004B5825">
        <w:trPr>
          <w:tblCellSpacing w:w="15" w:type="dxa"/>
        </w:trPr>
        <w:tc>
          <w:tcPr>
            <w:tcW w:w="0" w:type="auto"/>
            <w:vAlign w:val="center"/>
            <w:hideMark/>
          </w:tcPr>
          <w:p w14:paraId="24C6F23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w:t>
            </w:r>
          </w:p>
        </w:tc>
        <w:tc>
          <w:tcPr>
            <w:tcW w:w="0" w:type="auto"/>
            <w:vAlign w:val="center"/>
            <w:hideMark/>
          </w:tcPr>
          <w:p w14:paraId="7F470317"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2</w:t>
            </w:r>
          </w:p>
        </w:tc>
        <w:tc>
          <w:tcPr>
            <w:tcW w:w="0" w:type="auto"/>
            <w:vAlign w:val="center"/>
            <w:hideMark/>
          </w:tcPr>
          <w:p w14:paraId="624E84C3"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74.65%</w:t>
            </w:r>
          </w:p>
        </w:tc>
        <w:tc>
          <w:tcPr>
            <w:tcW w:w="0" w:type="auto"/>
            <w:vAlign w:val="center"/>
            <w:hideMark/>
          </w:tcPr>
          <w:p w14:paraId="79480CF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96.36%</w:t>
            </w:r>
          </w:p>
        </w:tc>
        <w:tc>
          <w:tcPr>
            <w:tcW w:w="0" w:type="auto"/>
            <w:vAlign w:val="center"/>
            <w:hideMark/>
          </w:tcPr>
          <w:p w14:paraId="5C268805"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84.13%</w:t>
            </w:r>
          </w:p>
        </w:tc>
      </w:tr>
      <w:tr w:rsidR="004B5825" w:rsidRPr="004B5825" w14:paraId="531CAF2E" w14:textId="77777777" w:rsidTr="004B5825">
        <w:trPr>
          <w:tblCellSpacing w:w="15" w:type="dxa"/>
        </w:trPr>
        <w:tc>
          <w:tcPr>
            <w:tcW w:w="0" w:type="auto"/>
            <w:vAlign w:val="center"/>
            <w:hideMark/>
          </w:tcPr>
          <w:p w14:paraId="38475DC6"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w:t>
            </w:r>
          </w:p>
        </w:tc>
        <w:tc>
          <w:tcPr>
            <w:tcW w:w="0" w:type="auto"/>
            <w:vAlign w:val="center"/>
            <w:hideMark/>
          </w:tcPr>
          <w:p w14:paraId="24E5438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3</w:t>
            </w:r>
          </w:p>
        </w:tc>
        <w:tc>
          <w:tcPr>
            <w:tcW w:w="0" w:type="auto"/>
            <w:vAlign w:val="center"/>
            <w:hideMark/>
          </w:tcPr>
          <w:p w14:paraId="0A5C80A4"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79.41%</w:t>
            </w:r>
          </w:p>
        </w:tc>
        <w:tc>
          <w:tcPr>
            <w:tcW w:w="0" w:type="auto"/>
            <w:vAlign w:val="center"/>
            <w:hideMark/>
          </w:tcPr>
          <w:p w14:paraId="19BFCAF4"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98.18%</w:t>
            </w:r>
          </w:p>
        </w:tc>
        <w:tc>
          <w:tcPr>
            <w:tcW w:w="0" w:type="auto"/>
            <w:vAlign w:val="center"/>
            <w:hideMark/>
          </w:tcPr>
          <w:p w14:paraId="6DD9AF0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87.80%</w:t>
            </w:r>
          </w:p>
        </w:tc>
      </w:tr>
      <w:tr w:rsidR="004B5825" w:rsidRPr="004B5825" w14:paraId="10BDB4A0" w14:textId="77777777" w:rsidTr="004B5825">
        <w:trPr>
          <w:tblCellSpacing w:w="15" w:type="dxa"/>
        </w:trPr>
        <w:tc>
          <w:tcPr>
            <w:tcW w:w="0" w:type="auto"/>
            <w:vAlign w:val="center"/>
            <w:hideMark/>
          </w:tcPr>
          <w:p w14:paraId="0E79597F"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P1 Average</w:t>
            </w:r>
          </w:p>
        </w:tc>
        <w:tc>
          <w:tcPr>
            <w:tcW w:w="0" w:type="auto"/>
            <w:vAlign w:val="center"/>
            <w:hideMark/>
          </w:tcPr>
          <w:p w14:paraId="606B122F"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w:t>
            </w:r>
          </w:p>
        </w:tc>
        <w:tc>
          <w:tcPr>
            <w:tcW w:w="0" w:type="auto"/>
            <w:vAlign w:val="center"/>
            <w:hideMark/>
          </w:tcPr>
          <w:p w14:paraId="06A585FF"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77.54%</w:t>
            </w:r>
          </w:p>
        </w:tc>
        <w:tc>
          <w:tcPr>
            <w:tcW w:w="0" w:type="auto"/>
            <w:vAlign w:val="center"/>
            <w:hideMark/>
          </w:tcPr>
          <w:p w14:paraId="171230DA"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98.18%</w:t>
            </w:r>
          </w:p>
        </w:tc>
        <w:tc>
          <w:tcPr>
            <w:tcW w:w="0" w:type="auto"/>
            <w:vAlign w:val="center"/>
            <w:hideMark/>
          </w:tcPr>
          <w:p w14:paraId="2FE8CAED"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86.64%</w:t>
            </w:r>
          </w:p>
        </w:tc>
      </w:tr>
    </w:tbl>
    <w:p w14:paraId="58C71F63"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Comparison with P0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560"/>
        <w:gridCol w:w="1254"/>
        <w:gridCol w:w="895"/>
      </w:tblGrid>
      <w:tr w:rsidR="004B5825" w:rsidRPr="004B5825" w14:paraId="58C06F5C" w14:textId="77777777" w:rsidTr="004B5825">
        <w:trPr>
          <w:tblCellSpacing w:w="15" w:type="dxa"/>
        </w:trPr>
        <w:tc>
          <w:tcPr>
            <w:tcW w:w="0" w:type="auto"/>
            <w:vAlign w:val="center"/>
            <w:hideMark/>
          </w:tcPr>
          <w:p w14:paraId="6A0BFAD2"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Version</w:t>
            </w:r>
          </w:p>
        </w:tc>
        <w:tc>
          <w:tcPr>
            <w:tcW w:w="0" w:type="auto"/>
            <w:vAlign w:val="center"/>
            <w:hideMark/>
          </w:tcPr>
          <w:p w14:paraId="68A22CAB"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Avg. Precision</w:t>
            </w:r>
          </w:p>
        </w:tc>
        <w:tc>
          <w:tcPr>
            <w:tcW w:w="0" w:type="auto"/>
            <w:vAlign w:val="center"/>
            <w:hideMark/>
          </w:tcPr>
          <w:p w14:paraId="309888EB"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Avg. Recall</w:t>
            </w:r>
          </w:p>
        </w:tc>
        <w:tc>
          <w:tcPr>
            <w:tcW w:w="0" w:type="auto"/>
            <w:vAlign w:val="center"/>
            <w:hideMark/>
          </w:tcPr>
          <w:p w14:paraId="66C96F51" w14:textId="77777777" w:rsidR="004B5825" w:rsidRPr="004B5825" w:rsidRDefault="004B5825" w:rsidP="004B5825">
            <w:pPr>
              <w:spacing w:after="0" w:line="240" w:lineRule="auto"/>
              <w:jc w:val="center"/>
              <w:rPr>
                <w:rFonts w:ascii="Times New Roman" w:eastAsia="Times New Roman" w:hAnsi="Times New Roman" w:cs="Times New Roman"/>
                <w:b/>
                <w:bCs/>
                <w:kern w:val="0"/>
                <w14:ligatures w14:val="none"/>
              </w:rPr>
            </w:pPr>
            <w:r w:rsidRPr="004B5825">
              <w:rPr>
                <w:rFonts w:ascii="Times New Roman" w:eastAsia="Times New Roman" w:hAnsi="Times New Roman" w:cs="Times New Roman"/>
                <w:b/>
                <w:bCs/>
                <w:kern w:val="0"/>
                <w14:ligatures w14:val="none"/>
              </w:rPr>
              <w:t>Avg. F1</w:t>
            </w:r>
          </w:p>
        </w:tc>
      </w:tr>
      <w:tr w:rsidR="004B5825" w:rsidRPr="004B5825" w14:paraId="72598A00" w14:textId="77777777" w:rsidTr="004B5825">
        <w:trPr>
          <w:tblCellSpacing w:w="15" w:type="dxa"/>
        </w:trPr>
        <w:tc>
          <w:tcPr>
            <w:tcW w:w="0" w:type="auto"/>
            <w:vAlign w:val="center"/>
            <w:hideMark/>
          </w:tcPr>
          <w:p w14:paraId="697CFCB4"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P0</w:t>
            </w:r>
          </w:p>
        </w:tc>
        <w:tc>
          <w:tcPr>
            <w:tcW w:w="0" w:type="auto"/>
            <w:vAlign w:val="center"/>
            <w:hideMark/>
          </w:tcPr>
          <w:p w14:paraId="7AF76EE3"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77.21%</w:t>
            </w:r>
          </w:p>
        </w:tc>
        <w:tc>
          <w:tcPr>
            <w:tcW w:w="0" w:type="auto"/>
            <w:vAlign w:val="center"/>
            <w:hideMark/>
          </w:tcPr>
          <w:p w14:paraId="0165F115"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56.36%</w:t>
            </w:r>
          </w:p>
        </w:tc>
        <w:tc>
          <w:tcPr>
            <w:tcW w:w="0" w:type="auto"/>
            <w:vAlign w:val="center"/>
            <w:hideMark/>
          </w:tcPr>
          <w:p w14:paraId="3EDE546C"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63.22%</w:t>
            </w:r>
          </w:p>
        </w:tc>
      </w:tr>
      <w:tr w:rsidR="004B5825" w:rsidRPr="004B5825" w14:paraId="06668E30" w14:textId="77777777" w:rsidTr="004B5825">
        <w:trPr>
          <w:tblCellSpacing w:w="15" w:type="dxa"/>
        </w:trPr>
        <w:tc>
          <w:tcPr>
            <w:tcW w:w="0" w:type="auto"/>
            <w:vAlign w:val="center"/>
            <w:hideMark/>
          </w:tcPr>
          <w:p w14:paraId="70101457"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w:t>
            </w:r>
          </w:p>
        </w:tc>
        <w:tc>
          <w:tcPr>
            <w:tcW w:w="0" w:type="auto"/>
            <w:vAlign w:val="center"/>
            <w:hideMark/>
          </w:tcPr>
          <w:p w14:paraId="33E92EA4"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77.54%</w:t>
            </w:r>
          </w:p>
        </w:tc>
        <w:tc>
          <w:tcPr>
            <w:tcW w:w="0" w:type="auto"/>
            <w:vAlign w:val="center"/>
            <w:hideMark/>
          </w:tcPr>
          <w:p w14:paraId="13AF05C0"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98.18%</w:t>
            </w:r>
          </w:p>
        </w:tc>
        <w:tc>
          <w:tcPr>
            <w:tcW w:w="0" w:type="auto"/>
            <w:vAlign w:val="center"/>
            <w:hideMark/>
          </w:tcPr>
          <w:p w14:paraId="3C7C44C2"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86.64%</w:t>
            </w:r>
          </w:p>
        </w:tc>
      </w:tr>
      <w:tr w:rsidR="004B5825" w:rsidRPr="004B5825" w14:paraId="3F7C9CB6" w14:textId="77777777" w:rsidTr="004B5825">
        <w:trPr>
          <w:tblCellSpacing w:w="15" w:type="dxa"/>
        </w:trPr>
        <w:tc>
          <w:tcPr>
            <w:tcW w:w="0" w:type="auto"/>
            <w:vAlign w:val="center"/>
            <w:hideMark/>
          </w:tcPr>
          <w:p w14:paraId="27697465"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Change</w:t>
            </w:r>
          </w:p>
        </w:tc>
        <w:tc>
          <w:tcPr>
            <w:tcW w:w="0" w:type="auto"/>
            <w:vAlign w:val="center"/>
            <w:hideMark/>
          </w:tcPr>
          <w:p w14:paraId="13A31FEF"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+0.33</w:t>
            </w:r>
          </w:p>
        </w:tc>
        <w:tc>
          <w:tcPr>
            <w:tcW w:w="0" w:type="auto"/>
            <w:vAlign w:val="center"/>
            <w:hideMark/>
          </w:tcPr>
          <w:p w14:paraId="740CD41C"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+41.82</w:t>
            </w:r>
          </w:p>
        </w:tc>
        <w:tc>
          <w:tcPr>
            <w:tcW w:w="0" w:type="auto"/>
            <w:vAlign w:val="center"/>
            <w:hideMark/>
          </w:tcPr>
          <w:p w14:paraId="2B323088" w14:textId="77777777" w:rsidR="004B5825" w:rsidRPr="004B5825" w:rsidRDefault="004B5825" w:rsidP="004B5825">
            <w:pPr>
              <w:spacing w:after="0"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b/>
                <w:bCs/>
                <w:kern w:val="0"/>
                <w14:ligatures w14:val="none"/>
              </w:rPr>
              <w:t>+23.42</w:t>
            </w:r>
          </w:p>
        </w:tc>
      </w:tr>
    </w:tbl>
    <w:p w14:paraId="2A94BAA6"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H1 Result</w:t>
      </w:r>
    </w:p>
    <w:p w14:paraId="26C9458D"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H1 was supported by the experimental results. Providing the AUM brainstorming methodology substantially increased recall and F1-score.</w:t>
      </w:r>
    </w:p>
    <w:p w14:paraId="127E047F"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 xml:space="preserve">Average recall increased from </w:t>
      </w:r>
      <w:r w:rsidRPr="004B5825">
        <w:rPr>
          <w:rFonts w:ascii="Times New Roman" w:eastAsia="Times New Roman" w:hAnsi="Times New Roman" w:cs="Times New Roman"/>
          <w:b/>
          <w:bCs/>
          <w:kern w:val="0"/>
          <w14:ligatures w14:val="none"/>
        </w:rPr>
        <w:t>56.36% to 98.18%</w:t>
      </w:r>
      <w:r w:rsidRPr="004B5825">
        <w:rPr>
          <w:rFonts w:ascii="Times New Roman" w:eastAsia="Times New Roman" w:hAnsi="Times New Roman" w:cs="Times New Roman"/>
          <w:kern w:val="0"/>
          <w14:ligatures w14:val="none"/>
        </w:rPr>
        <w:t xml:space="preserve">, an increase of </w:t>
      </w:r>
      <w:r w:rsidRPr="004B5825">
        <w:rPr>
          <w:rFonts w:ascii="Times New Roman" w:eastAsia="Times New Roman" w:hAnsi="Times New Roman" w:cs="Times New Roman"/>
          <w:b/>
          <w:bCs/>
          <w:kern w:val="0"/>
          <w14:ligatures w14:val="none"/>
        </w:rPr>
        <w:t>41.82 percentage points</w:t>
      </w:r>
      <w:r w:rsidRPr="004B5825">
        <w:rPr>
          <w:rFonts w:ascii="Times New Roman" w:eastAsia="Times New Roman" w:hAnsi="Times New Roman" w:cs="Times New Roman"/>
          <w:kern w:val="0"/>
          <w14:ligatures w14:val="none"/>
        </w:rPr>
        <w:t xml:space="preserve">. Average F1 increased from </w:t>
      </w:r>
      <w:r w:rsidRPr="004B5825">
        <w:rPr>
          <w:rFonts w:ascii="Times New Roman" w:eastAsia="Times New Roman" w:hAnsi="Times New Roman" w:cs="Times New Roman"/>
          <w:b/>
          <w:bCs/>
          <w:kern w:val="0"/>
          <w14:ligatures w14:val="none"/>
        </w:rPr>
        <w:t>63.22% to 86.64%</w:t>
      </w:r>
      <w:r w:rsidRPr="004B5825">
        <w:rPr>
          <w:rFonts w:ascii="Times New Roman" w:eastAsia="Times New Roman" w:hAnsi="Times New Roman" w:cs="Times New Roman"/>
          <w:kern w:val="0"/>
          <w14:ligatures w14:val="none"/>
        </w:rPr>
        <w:t xml:space="preserve">, an increase of </w:t>
      </w:r>
      <w:r w:rsidRPr="004B5825">
        <w:rPr>
          <w:rFonts w:ascii="Times New Roman" w:eastAsia="Times New Roman" w:hAnsi="Times New Roman" w:cs="Times New Roman"/>
          <w:b/>
          <w:bCs/>
          <w:kern w:val="0"/>
          <w14:ligatures w14:val="none"/>
        </w:rPr>
        <w:t>23.42 percentage points</w:t>
      </w:r>
      <w:r w:rsidRPr="004B5825">
        <w:rPr>
          <w:rFonts w:ascii="Times New Roman" w:eastAsia="Times New Roman" w:hAnsi="Times New Roman" w:cs="Times New Roman"/>
          <w:kern w:val="0"/>
          <w14:ligatures w14:val="none"/>
        </w:rPr>
        <w:t>.</w:t>
      </w:r>
    </w:p>
    <w:p w14:paraId="077F408D"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 xml:space="preserve">Precision increased only slightly, from </w:t>
      </w:r>
      <w:r w:rsidRPr="004B5825">
        <w:rPr>
          <w:rFonts w:ascii="Times New Roman" w:eastAsia="Times New Roman" w:hAnsi="Times New Roman" w:cs="Times New Roman"/>
          <w:b/>
          <w:bCs/>
          <w:kern w:val="0"/>
          <w14:ligatures w14:val="none"/>
        </w:rPr>
        <w:t>77.21% to 77.54%</w:t>
      </w:r>
      <w:r w:rsidRPr="004B5825">
        <w:rPr>
          <w:rFonts w:ascii="Times New Roman" w:eastAsia="Times New Roman" w:hAnsi="Times New Roman" w:cs="Times New Roman"/>
          <w:kern w:val="0"/>
          <w14:ligatures w14:val="none"/>
        </w:rPr>
        <w:t>.</w:t>
      </w:r>
    </w:p>
    <w:p w14:paraId="37DC0E7B" w14:textId="77777777" w:rsidR="004B5825" w:rsidRPr="004B5825" w:rsidRDefault="004B5825" w:rsidP="004B58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5825">
        <w:rPr>
          <w:rFonts w:ascii="Times New Roman" w:eastAsia="Times New Roman" w:hAnsi="Times New Roman" w:cs="Times New Roman"/>
          <w:b/>
          <w:bCs/>
          <w:kern w:val="0"/>
          <w:sz w:val="27"/>
          <w:szCs w:val="27"/>
          <w14:ligatures w14:val="none"/>
        </w:rPr>
        <w:t>P1 Error Analysis</w:t>
      </w:r>
    </w:p>
    <w:p w14:paraId="10245370"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P1 successfully addressed the major recall problem observed in P0. However, the LLM also generated additional or inferred phrases that were not represented in the expert solution.</w:t>
      </w:r>
    </w:p>
    <w:p w14:paraId="5CA19F7E"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Examples included constructed containment expressions such as:</w:t>
      </w:r>
    </w:p>
    <w:p w14:paraId="3F707A44" w14:textId="77777777" w:rsidR="004B5825" w:rsidRPr="004B5825" w:rsidRDefault="004B5825" w:rsidP="004B58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library contains subject sections</w:t>
      </w:r>
    </w:p>
    <w:p w14:paraId="590F6635" w14:textId="77777777" w:rsidR="004B5825" w:rsidRPr="004B5825" w:rsidRDefault="004B5825" w:rsidP="004B58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membership card contains a member number</w:t>
      </w:r>
    </w:p>
    <w:p w14:paraId="3ED0E17C" w14:textId="77777777" w:rsidR="004B5825" w:rsidRPr="004B5825" w:rsidRDefault="004B5825" w:rsidP="004B58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book contains a title</w:t>
      </w:r>
    </w:p>
    <w:p w14:paraId="6E6730E7" w14:textId="77777777" w:rsidR="004B5825" w:rsidRPr="004B5825" w:rsidRDefault="004B5825" w:rsidP="004B58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lastRenderedPageBreak/>
        <w:t>language tape contains a level</w:t>
      </w:r>
    </w:p>
    <w:p w14:paraId="07CC0C7A"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 xml:space="preserve">Additional terms such as </w:t>
      </w:r>
      <w:r w:rsidRPr="004B5825">
        <w:rPr>
          <w:rFonts w:ascii="Times New Roman" w:eastAsia="Times New Roman" w:hAnsi="Times New Roman" w:cs="Times New Roman"/>
          <w:b/>
          <w:bCs/>
          <w:kern w:val="0"/>
          <w14:ligatures w14:val="none"/>
        </w:rPr>
        <w:t>facility</w:t>
      </w:r>
      <w:r w:rsidRPr="004B5825">
        <w:rPr>
          <w:rFonts w:ascii="Times New Roman" w:eastAsia="Times New Roman" w:hAnsi="Times New Roman" w:cs="Times New Roman"/>
          <w:kern w:val="0"/>
          <w14:ligatures w14:val="none"/>
        </w:rPr>
        <w:t xml:space="preserve">, </w:t>
      </w:r>
      <w:r w:rsidRPr="004B5825">
        <w:rPr>
          <w:rFonts w:ascii="Times New Roman" w:eastAsia="Times New Roman" w:hAnsi="Times New Roman" w:cs="Times New Roman"/>
          <w:b/>
          <w:bCs/>
          <w:kern w:val="0"/>
          <w14:ligatures w14:val="none"/>
        </w:rPr>
        <w:t>unique</w:t>
      </w:r>
      <w:r w:rsidRPr="004B5825">
        <w:rPr>
          <w:rFonts w:ascii="Times New Roman" w:eastAsia="Times New Roman" w:hAnsi="Times New Roman" w:cs="Times New Roman"/>
          <w:kern w:val="0"/>
          <w14:ligatures w14:val="none"/>
        </w:rPr>
        <w:t xml:space="preserve">, </w:t>
      </w:r>
      <w:r w:rsidRPr="004B5825">
        <w:rPr>
          <w:rFonts w:ascii="Times New Roman" w:eastAsia="Times New Roman" w:hAnsi="Times New Roman" w:cs="Times New Roman"/>
          <w:b/>
          <w:bCs/>
          <w:kern w:val="0"/>
          <w14:ligatures w14:val="none"/>
        </w:rPr>
        <w:t>subject</w:t>
      </w:r>
      <w:r w:rsidRPr="004B5825">
        <w:rPr>
          <w:rFonts w:ascii="Times New Roman" w:eastAsia="Times New Roman" w:hAnsi="Times New Roman" w:cs="Times New Roman"/>
          <w:kern w:val="0"/>
          <w14:ligatures w14:val="none"/>
        </w:rPr>
        <w:t xml:space="preserve">, </w:t>
      </w:r>
      <w:r w:rsidRPr="004B5825">
        <w:rPr>
          <w:rFonts w:ascii="Times New Roman" w:eastAsia="Times New Roman" w:hAnsi="Times New Roman" w:cs="Times New Roman"/>
          <w:b/>
          <w:bCs/>
          <w:kern w:val="0"/>
          <w14:ligatures w14:val="none"/>
        </w:rPr>
        <w:t>language</w:t>
      </w:r>
      <w:r w:rsidRPr="004B5825">
        <w:rPr>
          <w:rFonts w:ascii="Times New Roman" w:eastAsia="Times New Roman" w:hAnsi="Times New Roman" w:cs="Times New Roman"/>
          <w:kern w:val="0"/>
          <w14:ligatures w14:val="none"/>
        </w:rPr>
        <w:t xml:space="preserve">, and </w:t>
      </w:r>
      <w:r w:rsidRPr="004B5825">
        <w:rPr>
          <w:rFonts w:ascii="Times New Roman" w:eastAsia="Times New Roman" w:hAnsi="Times New Roman" w:cs="Times New Roman"/>
          <w:b/>
          <w:bCs/>
          <w:kern w:val="0"/>
          <w14:ligatures w14:val="none"/>
        </w:rPr>
        <w:t>current</w:t>
      </w:r>
      <w:r w:rsidRPr="004B5825">
        <w:rPr>
          <w:rFonts w:ascii="Times New Roman" w:eastAsia="Times New Roman" w:hAnsi="Times New Roman" w:cs="Times New Roman"/>
          <w:kern w:val="0"/>
          <w14:ligatures w14:val="none"/>
        </w:rPr>
        <w:t xml:space="preserve"> were also produced.</w:t>
      </w:r>
    </w:p>
    <w:p w14:paraId="3A074FDB"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 xml:space="preserve">Therefore, after P1, the primary remaining problem is no longer low recall. The main issue is </w:t>
      </w:r>
      <w:r w:rsidRPr="004B5825">
        <w:rPr>
          <w:rFonts w:ascii="Times New Roman" w:eastAsia="Times New Roman" w:hAnsi="Times New Roman" w:cs="Times New Roman"/>
          <w:b/>
          <w:bCs/>
          <w:kern w:val="0"/>
          <w14:ligatures w14:val="none"/>
        </w:rPr>
        <w:t>false positives caused by inferred, reworded, or newly constructed phrases</w:t>
      </w:r>
      <w:r w:rsidRPr="004B5825">
        <w:rPr>
          <w:rFonts w:ascii="Times New Roman" w:eastAsia="Times New Roman" w:hAnsi="Times New Roman" w:cs="Times New Roman"/>
          <w:kern w:val="0"/>
          <w14:ligatures w14:val="none"/>
        </w:rPr>
        <w:t>.</w:t>
      </w:r>
    </w:p>
    <w:p w14:paraId="458F4C7D" w14:textId="77777777" w:rsidR="004B5825" w:rsidRPr="004B5825" w:rsidRDefault="004B5825" w:rsidP="004B58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5825">
        <w:rPr>
          <w:rFonts w:ascii="Times New Roman" w:eastAsia="Times New Roman" w:hAnsi="Times New Roman" w:cs="Times New Roman"/>
          <w:b/>
          <w:bCs/>
          <w:kern w:val="0"/>
          <w:sz w:val="36"/>
          <w:szCs w:val="36"/>
          <w14:ligatures w14:val="none"/>
        </w:rPr>
        <w:t>H2 – Next Hypothesis</w:t>
      </w:r>
    </w:p>
    <w:p w14:paraId="25763FA3" w14:textId="77777777" w:rsidR="004B5825" w:rsidRPr="004B5825" w:rsidRDefault="004B5825" w:rsidP="004B5825">
      <w:pPr>
        <w:spacing w:before="100" w:beforeAutospacing="1" w:after="100" w:afterAutospacing="1" w:line="240" w:lineRule="auto"/>
        <w:rPr>
          <w:rFonts w:ascii="Times New Roman" w:eastAsia="Times New Roman" w:hAnsi="Times New Roman" w:cs="Times New Roman"/>
          <w:kern w:val="0"/>
          <w14:ligatures w14:val="none"/>
        </w:rPr>
      </w:pPr>
      <w:r w:rsidRPr="004B5825">
        <w:rPr>
          <w:rFonts w:ascii="Times New Roman" w:eastAsia="Times New Roman" w:hAnsi="Times New Roman" w:cs="Times New Roman"/>
          <w:kern w:val="0"/>
          <w14:ligatures w14:val="none"/>
        </w:rPr>
        <w:t>Adding explicit instructions to extract only phrases supported by the domain description and to avoid inferred, reworded, or newly constructed phrases will improve precision while maintaining the high recall achieved by P1.</w:t>
      </w:r>
    </w:p>
    <w:p w14:paraId="1E719F81" w14:textId="77777777" w:rsidR="00731709" w:rsidRDefault="00731709"/>
    <w:sectPr w:rsidR="00731709"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736A32"/>
    <w:multiLevelType w:val="multilevel"/>
    <w:tmpl w:val="A78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B4073"/>
    <w:multiLevelType w:val="multilevel"/>
    <w:tmpl w:val="7610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82E87"/>
    <w:multiLevelType w:val="multilevel"/>
    <w:tmpl w:val="4E6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086262">
    <w:abstractNumId w:val="2"/>
  </w:num>
  <w:num w:numId="2" w16cid:durableId="160699240">
    <w:abstractNumId w:val="0"/>
  </w:num>
  <w:num w:numId="3" w16cid:durableId="19708229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25"/>
    <w:rsid w:val="000B6F9D"/>
    <w:rsid w:val="001D005E"/>
    <w:rsid w:val="00415FB7"/>
    <w:rsid w:val="004B5825"/>
    <w:rsid w:val="00581BE8"/>
    <w:rsid w:val="005E571C"/>
    <w:rsid w:val="00640754"/>
    <w:rsid w:val="00731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1DC6"/>
  <w15:chartTrackingRefBased/>
  <w15:docId w15:val="{E48F0A37-0475-0B46-BB74-D2B4CF39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825"/>
    <w:rPr>
      <w:rFonts w:eastAsiaTheme="majorEastAsia" w:cstheme="majorBidi"/>
      <w:color w:val="272727" w:themeColor="text1" w:themeTint="D8"/>
    </w:rPr>
  </w:style>
  <w:style w:type="paragraph" w:styleId="Title">
    <w:name w:val="Title"/>
    <w:basedOn w:val="Normal"/>
    <w:next w:val="Normal"/>
    <w:link w:val="TitleChar"/>
    <w:uiPriority w:val="10"/>
    <w:qFormat/>
    <w:rsid w:val="004B5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825"/>
    <w:pPr>
      <w:spacing w:before="160"/>
      <w:jc w:val="center"/>
    </w:pPr>
    <w:rPr>
      <w:i/>
      <w:iCs/>
      <w:color w:val="404040" w:themeColor="text1" w:themeTint="BF"/>
    </w:rPr>
  </w:style>
  <w:style w:type="character" w:customStyle="1" w:styleId="QuoteChar">
    <w:name w:val="Quote Char"/>
    <w:basedOn w:val="DefaultParagraphFont"/>
    <w:link w:val="Quote"/>
    <w:uiPriority w:val="29"/>
    <w:rsid w:val="004B5825"/>
    <w:rPr>
      <w:i/>
      <w:iCs/>
      <w:color w:val="404040" w:themeColor="text1" w:themeTint="BF"/>
    </w:rPr>
  </w:style>
  <w:style w:type="paragraph" w:styleId="ListParagraph">
    <w:name w:val="List Paragraph"/>
    <w:basedOn w:val="Normal"/>
    <w:uiPriority w:val="34"/>
    <w:qFormat/>
    <w:rsid w:val="004B5825"/>
    <w:pPr>
      <w:ind w:left="720"/>
      <w:contextualSpacing/>
    </w:pPr>
  </w:style>
  <w:style w:type="character" w:styleId="IntenseEmphasis">
    <w:name w:val="Intense Emphasis"/>
    <w:basedOn w:val="DefaultParagraphFont"/>
    <w:uiPriority w:val="21"/>
    <w:qFormat/>
    <w:rsid w:val="004B5825"/>
    <w:rPr>
      <w:i/>
      <w:iCs/>
      <w:color w:val="0F4761" w:themeColor="accent1" w:themeShade="BF"/>
    </w:rPr>
  </w:style>
  <w:style w:type="paragraph" w:styleId="IntenseQuote">
    <w:name w:val="Intense Quote"/>
    <w:basedOn w:val="Normal"/>
    <w:next w:val="Normal"/>
    <w:link w:val="IntenseQuoteChar"/>
    <w:uiPriority w:val="30"/>
    <w:qFormat/>
    <w:rsid w:val="004B5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825"/>
    <w:rPr>
      <w:i/>
      <w:iCs/>
      <w:color w:val="0F4761" w:themeColor="accent1" w:themeShade="BF"/>
    </w:rPr>
  </w:style>
  <w:style w:type="character" w:styleId="IntenseReference">
    <w:name w:val="Intense Reference"/>
    <w:basedOn w:val="DefaultParagraphFont"/>
    <w:uiPriority w:val="32"/>
    <w:qFormat/>
    <w:rsid w:val="004B5825"/>
    <w:rPr>
      <w:b/>
      <w:bCs/>
      <w:smallCaps/>
      <w:color w:val="0F4761" w:themeColor="accent1" w:themeShade="BF"/>
      <w:spacing w:val="5"/>
    </w:rPr>
  </w:style>
  <w:style w:type="paragraph" w:styleId="NormalWeb">
    <w:name w:val="Normal (Web)"/>
    <w:basedOn w:val="Normal"/>
    <w:uiPriority w:val="99"/>
    <w:semiHidden/>
    <w:unhideWhenUsed/>
    <w:rsid w:val="004B58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58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1</cp:revision>
  <dcterms:created xsi:type="dcterms:W3CDTF">2026-09-25T12:17:00Z</dcterms:created>
  <dcterms:modified xsi:type="dcterms:W3CDTF">2026-09-25T12:17:00Z</dcterms:modified>
</cp:coreProperties>
</file>