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331C" w14:textId="77777777" w:rsidR="005D11EA" w:rsidRPr="005D11EA" w:rsidRDefault="005D11EA" w:rsidP="005D11EA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D11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H5.1 </w:t>
      </w:r>
      <w:proofErr w:type="spellStart"/>
      <w:r w:rsidRPr="005D11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de-DE"/>
          <w14:ligatures w14:val="none"/>
        </w:rPr>
        <w:t>Mergesort</w:t>
      </w:r>
      <w:proofErr w:type="spellEnd"/>
      <w:r w:rsidRPr="005D11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"almost </w:t>
      </w:r>
      <w:r w:rsidRPr="005D11EA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de-DE"/>
          <w14:ligatures w14:val="none"/>
        </w:rPr>
        <w:t>in-place</w:t>
      </w:r>
      <w:r w:rsidRPr="005D11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" </w:t>
      </w:r>
      <w:r w:rsidRPr="005D11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val="en-US" w:eastAsia="de-DE"/>
          <w14:ligatures w14:val="none"/>
        </w:rPr>
        <w:t>★★</w:t>
      </w:r>
    </w:p>
    <w:p w14:paraId="00CE78E7" w14:textId="77777777" w:rsidR="005D11EA" w:rsidRPr="005D11EA" w:rsidRDefault="005D11EA" w:rsidP="005D11E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In dieser Aufgabe sollt ihr eine optimierte Variante von </w:t>
      </w:r>
      <w:proofErr w:type="spellStart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>Mergesort</w:t>
      </w:r>
      <w:proofErr w:type="spellEnd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implementieren, bei der ihr nur zwei Listen verwendet, zwischen denen ihr beim Mischen die Elemente jeweils hin und her kopiert (wie in </w:t>
      </w:r>
      <w:r w:rsidRPr="005D11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Präsenzaufgabe 4.2</w:t>
      </w: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diskutiert). Die grundlegende Idee sollte anhand des folgenden Beispiels noch einmal verdeutlicht werden: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57"/>
        <w:gridCol w:w="5343"/>
      </w:tblGrid>
      <w:tr w:rsidR="005D11EA" w:rsidRPr="005D11EA" w14:paraId="773598C8" w14:textId="77777777" w:rsidTr="005D1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0D577" w14:textId="77777777" w:rsidR="005D11EA" w:rsidRPr="005D11EA" w:rsidRDefault="005D11EA" w:rsidP="005D1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de-DE"/>
                <w14:ligatures w14:val="none"/>
              </w:rPr>
              <w:t>Eingabeliste</w:t>
            </w:r>
          </w:p>
        </w:tc>
        <w:tc>
          <w:tcPr>
            <w:tcW w:w="0" w:type="auto"/>
            <w:vAlign w:val="center"/>
            <w:hideMark/>
          </w:tcPr>
          <w:p w14:paraId="1709FBC5" w14:textId="77777777" w:rsidR="005D11EA" w:rsidRPr="005D11EA" w:rsidRDefault="005D11EA" w:rsidP="005D1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de-DE"/>
                <w14:ligatures w14:val="none"/>
              </w:rPr>
              <w:t>Ausgabeliste</w:t>
            </w:r>
          </w:p>
        </w:tc>
        <w:tc>
          <w:tcPr>
            <w:tcW w:w="0" w:type="auto"/>
            <w:vAlign w:val="center"/>
            <w:hideMark/>
          </w:tcPr>
          <w:p w14:paraId="750C62C2" w14:textId="77777777" w:rsidR="005D11EA" w:rsidRPr="005D11EA" w:rsidRDefault="005D11EA" w:rsidP="005D1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de-DE"/>
                <w14:ligatures w14:val="none"/>
              </w:rPr>
              <w:t>(bezieht sich jeweils auf das Mischen)</w:t>
            </w:r>
          </w:p>
        </w:tc>
      </w:tr>
      <w:tr w:rsidR="005D11EA" w:rsidRPr="005D11EA" w14:paraId="187D806E" w14:textId="77777777" w:rsidTr="005D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33341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[4,6,8,2,5,3,1,7]</w:t>
            </w:r>
          </w:p>
        </w:tc>
        <w:tc>
          <w:tcPr>
            <w:tcW w:w="0" w:type="auto"/>
            <w:vAlign w:val="center"/>
            <w:hideMark/>
          </w:tcPr>
          <w:p w14:paraId="6D423587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[0,0,0,0,0,0,0,0]</w:t>
            </w:r>
          </w:p>
        </w:tc>
        <w:tc>
          <w:tcPr>
            <w:tcW w:w="0" w:type="auto"/>
            <w:vAlign w:val="center"/>
            <w:hideMark/>
          </w:tcPr>
          <w:p w14:paraId="200C71FB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Startzustand</w:t>
            </w:r>
          </w:p>
        </w:tc>
      </w:tr>
      <w:tr w:rsidR="005D11EA" w:rsidRPr="005D11EA" w14:paraId="74831FE2" w14:textId="77777777" w:rsidTr="005D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4B210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[4,6,8,2,5,3,1,7]</w:t>
            </w:r>
          </w:p>
        </w:tc>
        <w:tc>
          <w:tcPr>
            <w:tcW w:w="0" w:type="auto"/>
            <w:vAlign w:val="center"/>
            <w:hideMark/>
          </w:tcPr>
          <w:p w14:paraId="2C1FC8D6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</w:t>
            </w:r>
            <w:r w:rsidRPr="003E23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de-DE"/>
                <w14:ligatures w14:val="none"/>
              </w:rPr>
              <w:t>4,6</w:t>
            </w: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,2,8,</w:t>
            </w:r>
            <w:r w:rsidRPr="003E23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de-DE"/>
                <w14:ligatures w14:val="none"/>
              </w:rPr>
              <w:t>3,5</w:t>
            </w: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,1,7]</w:t>
            </w:r>
          </w:p>
        </w:tc>
        <w:tc>
          <w:tcPr>
            <w:tcW w:w="0" w:type="auto"/>
            <w:vAlign w:val="center"/>
            <w:hideMark/>
          </w:tcPr>
          <w:p w14:paraId="5A6875FC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Mischen der Teillisten der Länge 1</w:t>
            </w:r>
          </w:p>
        </w:tc>
      </w:tr>
      <w:tr w:rsidR="005D11EA" w:rsidRPr="005D11EA" w14:paraId="279799AF" w14:textId="77777777" w:rsidTr="005D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0B0C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</w:t>
            </w:r>
            <w:r w:rsidRPr="003E23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de-DE"/>
                <w14:ligatures w14:val="none"/>
              </w:rPr>
              <w:t>4,6,2,8,3,5,1,7</w:t>
            </w: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93C591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[4,6,8,2,5,3,1,7]</w:t>
            </w:r>
          </w:p>
        </w:tc>
        <w:tc>
          <w:tcPr>
            <w:tcW w:w="0" w:type="auto"/>
            <w:vAlign w:val="center"/>
            <w:hideMark/>
          </w:tcPr>
          <w:p w14:paraId="7E0F2F54" w14:textId="3D0F4C1D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Vertauschen der Listen</w:t>
            </w:r>
            <w:r w:rsidR="003E23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/ Ausgabeliste steht jetzt vorne</w:t>
            </w:r>
          </w:p>
        </w:tc>
      </w:tr>
      <w:tr w:rsidR="005D11EA" w:rsidRPr="005D11EA" w14:paraId="44472D3B" w14:textId="77777777" w:rsidTr="005D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A543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[4,6,2,8,3,5,1,7]</w:t>
            </w:r>
          </w:p>
        </w:tc>
        <w:tc>
          <w:tcPr>
            <w:tcW w:w="0" w:type="auto"/>
            <w:vAlign w:val="center"/>
            <w:hideMark/>
          </w:tcPr>
          <w:p w14:paraId="6DA4019C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</w:t>
            </w:r>
            <w:r w:rsidRPr="00F12B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de-DE"/>
                <w14:ligatures w14:val="none"/>
              </w:rPr>
              <w:t>2,4,6,8</w:t>
            </w: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,1,3,5,7]</w:t>
            </w:r>
          </w:p>
        </w:tc>
        <w:tc>
          <w:tcPr>
            <w:tcW w:w="0" w:type="auto"/>
            <w:vAlign w:val="center"/>
            <w:hideMark/>
          </w:tcPr>
          <w:p w14:paraId="47DEAAB1" w14:textId="584C6BF1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Mischen der Teillisten der Länge 2</w:t>
            </w:r>
            <w:r w:rsidR="00BF53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 xml:space="preserve"> / Mischen passiert in der Ausgabeliste</w:t>
            </w:r>
          </w:p>
        </w:tc>
      </w:tr>
      <w:tr w:rsidR="005D11EA" w:rsidRPr="005D11EA" w14:paraId="08A30C93" w14:textId="77777777" w:rsidTr="005D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FD9B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</w:t>
            </w:r>
            <w:r w:rsidRPr="00BF53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de-DE"/>
                <w14:ligatures w14:val="none"/>
              </w:rPr>
              <w:t>2,4,6,8,1,3,5,7</w:t>
            </w: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7426F5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[4,6,2,8,3,5,1,7]</w:t>
            </w:r>
          </w:p>
        </w:tc>
        <w:tc>
          <w:tcPr>
            <w:tcW w:w="0" w:type="auto"/>
            <w:vAlign w:val="center"/>
            <w:hideMark/>
          </w:tcPr>
          <w:p w14:paraId="7A076462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Vertauschen der Listen</w:t>
            </w:r>
          </w:p>
        </w:tc>
      </w:tr>
      <w:tr w:rsidR="005D11EA" w:rsidRPr="005D11EA" w14:paraId="7C3A79CA" w14:textId="77777777" w:rsidTr="005D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1860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[2,4,6,8,1,3,5,7]</w:t>
            </w:r>
          </w:p>
        </w:tc>
        <w:tc>
          <w:tcPr>
            <w:tcW w:w="0" w:type="auto"/>
            <w:vAlign w:val="center"/>
            <w:hideMark/>
          </w:tcPr>
          <w:p w14:paraId="3A8204D3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[</w:t>
            </w:r>
            <w:r w:rsidRPr="00CC4E5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yellow"/>
                <w:lang w:eastAsia="de-DE"/>
                <w14:ligatures w14:val="none"/>
              </w:rPr>
              <w:t>1,2,3,4,5,6,7,8</w:t>
            </w: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FFE680" w14:textId="77777777" w:rsidR="005D11EA" w:rsidRPr="005D11EA" w:rsidRDefault="005D11EA" w:rsidP="003E232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D11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de-DE"/>
                <w14:ligatures w14:val="none"/>
              </w:rPr>
              <w:t>Mischen der Teillisten der Länge 4</w:t>
            </w:r>
          </w:p>
        </w:tc>
      </w:tr>
    </w:tbl>
    <w:p w14:paraId="6A5F2A8C" w14:textId="77777777" w:rsidR="005D11EA" w:rsidRPr="00CC4E59" w:rsidRDefault="005D11EA" w:rsidP="005D11E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</w:pP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Die Ausgabeliste enthält am Ende das Ergebnis (falls am Ende nicht noch einmal vertauscht wird) und muss nur noch ggf. </w:t>
      </w:r>
      <w:r w:rsidRPr="00CC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in die ursprünglich zu sortierende Liste zurückkopiert werden.</w:t>
      </w:r>
    </w:p>
    <w:p w14:paraId="5FF039EA" w14:textId="1CEE4287" w:rsidR="005D11EA" w:rsidRPr="005D11EA" w:rsidRDefault="005D11EA" w:rsidP="005D11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Realisiert zunächst </w:t>
      </w:r>
      <w:r w:rsidRPr="00862D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de-DE"/>
          <w14:ligatures w14:val="none"/>
        </w:rPr>
        <w:t xml:space="preserve">eine neue Variante der </w:t>
      </w:r>
      <w:proofErr w:type="spellStart"/>
      <w:r w:rsidRPr="00862D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de-DE"/>
          <w14:ligatures w14:val="none"/>
        </w:rPr>
        <w:t>merge</w:t>
      </w:r>
      <w:proofErr w:type="spellEnd"/>
      <w:r w:rsidRPr="00862D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de-DE"/>
          <w14:ligatures w14:val="none"/>
        </w:rPr>
        <w:t>-Funktion</w:t>
      </w: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, welche nun mehr Parameter benötigt (mindestens Eingabeliste, Ausgabeliste und Länge der zu </w:t>
      </w:r>
      <w:proofErr w:type="spellStart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>mergenden</w:t>
      </w:r>
      <w:proofErr w:type="spellEnd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Teillisten in der Eingabeliste, ggf. auch deren Anfangspositionen in der Eingabeliste). Orientiert euch dazu am Beispiel.</w:t>
      </w:r>
    </w:p>
    <w:p w14:paraId="1DEAA5EB" w14:textId="77777777" w:rsidR="005D11EA" w:rsidRPr="005D11EA" w:rsidRDefault="005D11EA" w:rsidP="005D11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lastRenderedPageBreak/>
        <w:t xml:space="preserve">Anschließend könnt ihr dann das eigentliche </w:t>
      </w:r>
      <w:proofErr w:type="spellStart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>Mergesort</w:t>
      </w:r>
      <w:proofErr w:type="spellEnd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realisieren. Hierbei sollen nur zwei Listen im Speicher gehalten (die übergebene Liste und eine weitere Liste gleicher Länge), die abwechselnd als Ein- und Ausgabeliste für den </w:t>
      </w:r>
      <w:proofErr w:type="spellStart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>Merge</w:t>
      </w:r>
      <w:proofErr w:type="spellEnd"/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>-Schritt verwendet werden. 4 P.</w:t>
      </w:r>
    </w:p>
    <w:p w14:paraId="647BBA82" w14:textId="19B18307" w:rsidR="005D11EA" w:rsidRPr="005D11EA" w:rsidRDefault="005D11EA" w:rsidP="004D576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5D11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Hinweis:</w:t>
      </w:r>
      <w:r w:rsidRPr="005D11EA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Vermeidet es, beim Wechsel zwischen den Ein- und Ausgabeliste erneut alle Werte zu kopieren. Das Vertauschen der Referenzen ist aber in Ordnung, da eine Zuweisung einer Listenreferenz zu einer Variablen konstante Laufzeit hat.</w:t>
      </w:r>
    </w:p>
    <w:sectPr w:rsidR="005D11EA" w:rsidRPr="005D11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33F41" w14:textId="77777777" w:rsidR="0034587F" w:rsidRDefault="0034587F" w:rsidP="005D11EA">
      <w:pPr>
        <w:spacing w:after="0" w:line="240" w:lineRule="auto"/>
      </w:pPr>
      <w:r>
        <w:separator/>
      </w:r>
    </w:p>
  </w:endnote>
  <w:endnote w:type="continuationSeparator" w:id="0">
    <w:p w14:paraId="6019D79A" w14:textId="77777777" w:rsidR="0034587F" w:rsidRDefault="0034587F" w:rsidP="005D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40170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50F3DF" w14:textId="5ECC1C65" w:rsidR="005D11EA" w:rsidRDefault="005D11EA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EC16767" w14:textId="77777777" w:rsidR="005D11EA" w:rsidRDefault="005D11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DAD77" w14:textId="77777777" w:rsidR="0034587F" w:rsidRDefault="0034587F" w:rsidP="005D11EA">
      <w:pPr>
        <w:spacing w:after="0" w:line="240" w:lineRule="auto"/>
      </w:pPr>
      <w:r>
        <w:separator/>
      </w:r>
    </w:p>
  </w:footnote>
  <w:footnote w:type="continuationSeparator" w:id="0">
    <w:p w14:paraId="248CA39F" w14:textId="77777777" w:rsidR="0034587F" w:rsidRDefault="0034587F" w:rsidP="005D1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5717A"/>
    <w:multiLevelType w:val="multilevel"/>
    <w:tmpl w:val="564A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A6187"/>
    <w:multiLevelType w:val="multilevel"/>
    <w:tmpl w:val="8198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316821">
    <w:abstractNumId w:val="1"/>
  </w:num>
  <w:num w:numId="2" w16cid:durableId="208151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EA"/>
    <w:rsid w:val="0022737E"/>
    <w:rsid w:val="0034587F"/>
    <w:rsid w:val="003E232B"/>
    <w:rsid w:val="004D5763"/>
    <w:rsid w:val="005D11EA"/>
    <w:rsid w:val="006D278D"/>
    <w:rsid w:val="00862DD2"/>
    <w:rsid w:val="00A6208C"/>
    <w:rsid w:val="00BF5393"/>
    <w:rsid w:val="00CC4E59"/>
    <w:rsid w:val="00F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7142"/>
  <w15:chartTrackingRefBased/>
  <w15:docId w15:val="{E144BB83-7F59-4B3B-9542-45AB6C4C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D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11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11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11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11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11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11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11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11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11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11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11EA"/>
    <w:rPr>
      <w:b/>
      <w:bCs/>
      <w:smallCaps/>
      <w:color w:val="0F4761" w:themeColor="accent1" w:themeShade="BF"/>
      <w:spacing w:val="5"/>
    </w:rPr>
  </w:style>
  <w:style w:type="character" w:customStyle="1" w:styleId="nolink">
    <w:name w:val="nolink"/>
    <w:basedOn w:val="Absatz-Standardschriftart"/>
    <w:rsid w:val="005D11EA"/>
  </w:style>
  <w:style w:type="character" w:styleId="Hervorhebung">
    <w:name w:val="Emphasis"/>
    <w:basedOn w:val="Absatz-Standardschriftart"/>
    <w:uiPriority w:val="20"/>
    <w:qFormat/>
    <w:rsid w:val="005D11EA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5D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adge">
    <w:name w:val="badge"/>
    <w:basedOn w:val="Absatz-Standardschriftart"/>
    <w:rsid w:val="005D11EA"/>
  </w:style>
  <w:style w:type="character" w:styleId="Fett">
    <w:name w:val="Strong"/>
    <w:basedOn w:val="Absatz-Standardschriftart"/>
    <w:uiPriority w:val="22"/>
    <w:qFormat/>
    <w:rsid w:val="005D11E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5D1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5D11EA"/>
    <w:rPr>
      <w:color w:val="0000FF"/>
      <w:u w:val="single"/>
    </w:rPr>
  </w:style>
  <w:style w:type="character" w:customStyle="1" w:styleId="mi">
    <w:name w:val="mi"/>
    <w:basedOn w:val="Absatz-Standardschriftart"/>
    <w:rsid w:val="005D11EA"/>
  </w:style>
  <w:style w:type="character" w:customStyle="1" w:styleId="mn">
    <w:name w:val="mn"/>
    <w:basedOn w:val="Absatz-Standardschriftart"/>
    <w:rsid w:val="005D11EA"/>
  </w:style>
  <w:style w:type="character" w:customStyle="1" w:styleId="mo">
    <w:name w:val="mo"/>
    <w:basedOn w:val="Absatz-Standardschriftart"/>
    <w:rsid w:val="005D11EA"/>
  </w:style>
  <w:style w:type="paragraph" w:styleId="Kopfzeile">
    <w:name w:val="header"/>
    <w:basedOn w:val="Standard"/>
    <w:link w:val="KopfzeileZchn"/>
    <w:uiPriority w:val="99"/>
    <w:unhideWhenUsed/>
    <w:rsid w:val="005D1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1EA"/>
  </w:style>
  <w:style w:type="paragraph" w:styleId="Fuzeile">
    <w:name w:val="footer"/>
    <w:basedOn w:val="Standard"/>
    <w:link w:val="FuzeileZchn"/>
    <w:uiPriority w:val="99"/>
    <w:unhideWhenUsed/>
    <w:rsid w:val="005D1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Philips</dc:creator>
  <cp:keywords/>
  <dc:description/>
  <cp:lastModifiedBy>Samantha Philips</cp:lastModifiedBy>
  <cp:revision>7</cp:revision>
  <dcterms:created xsi:type="dcterms:W3CDTF">2025-05-16T10:22:00Z</dcterms:created>
  <dcterms:modified xsi:type="dcterms:W3CDTF">2025-05-19T09:41:00Z</dcterms:modified>
</cp:coreProperties>
</file>