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C00000"/>
          <w:sz w:val="28"/>
          <w:szCs w:val="28"/>
        </w:rPr>
        <w:t xml:space="preserve">WAIVER – SOGELUX</w:t>
      </w:r>
    </w:p>
    <w:p>
      <w:pPr>
        <w:spacing w:after="240"/>
        <w:jc w:val="center"/>
      </w:pPr>
      <w:r>
        <w:rPr>
          <w:rFonts w:ascii="Calibri" w:cs="Calibri" w:eastAsia="Calibri" w:hAnsi="Calibri"/>
          <w:b/>
          <w:bCs/>
          <w:sz w:val="22"/>
          <w:szCs w:val="22"/>
        </w:rPr>
        <w:t xml:space="preserve">Modification de la structure des crédits par caisse – Notification du 25 juin 2026</w:t>
      </w:r>
    </w:p>
    <w:p>
      <w:pPr>
        <w:spacing w:after="120" w:line="250"/>
        <w:jc w:val="both"/>
      </w:pPr>
      <w:r>
        <w:rPr>
          <w:rFonts w:ascii="Calibri" w:cs="Calibri" w:eastAsia="Calibri" w:hAnsi="Calibri"/>
          <w:sz w:val="21"/>
          <w:szCs w:val="21"/>
        </w:rPr>
        <w:t xml:space="preserve">Bonjour,</w:t>
      </w:r>
    </w:p>
    <w:p>
      <w:pPr>
        <w:spacing w:after="120" w:line="250"/>
        <w:jc w:val="both"/>
      </w:pPr>
      <w:r>
        <w:rPr>
          <w:rFonts w:ascii="Calibri" w:cs="Calibri" w:eastAsia="Calibri" w:hAnsi="Calibri"/>
          <w:sz w:val="21"/>
          <w:szCs w:val="21"/>
        </w:rPr>
        <w:t xml:space="preserve">Nous sommes sollicités par la DCE, pour le compte du client SOGELUX, dans le cadre d'un WAIVER sur la notification du 25 juin 2026, portant sur la modification de la répartition des crédits par caisse, à exposition globale inchangée :</w:t>
      </w:r>
    </w:p>
    <w:p>
      <w:pPr>
        <w:pStyle w:val="ListParagraph"/>
        <w:numPr>
          <w:ilvl w:val="0"/>
          <w:numId w:val="1"/>
        </w:numPr>
        <w:spacing w:after="80" w:line="250"/>
        <w:jc w:val="both"/>
      </w:pPr>
      <w:r>
        <w:rPr>
          <w:rFonts w:ascii="Calibri" w:cs="Calibri" w:eastAsia="Calibri" w:hAnsi="Calibri"/>
          <w:sz w:val="21"/>
          <w:szCs w:val="21"/>
        </w:rPr>
        <w:t xml:space="preserve">Ramener la ligne de Découvert de 1 250 MXOF à 250 MXOF ;</w:t>
      </w:r>
    </w:p>
    <w:p>
      <w:pPr>
        <w:pStyle w:val="ListParagraph"/>
        <w:numPr>
          <w:ilvl w:val="0"/>
          <w:numId w:val="1"/>
        </w:numPr>
        <w:spacing w:after="80" w:line="250"/>
        <w:jc w:val="both"/>
      </w:pPr>
      <w:r>
        <w:rPr>
          <w:rFonts w:ascii="Calibri" w:cs="Calibri" w:eastAsia="Calibri" w:hAnsi="Calibri"/>
          <w:sz w:val="21"/>
          <w:szCs w:val="21"/>
        </w:rPr>
        <w:t xml:space="preserve">Mettre en place, en contrepartie, une ligne de CCT revolving à/h de 1 000 MXOF, d'une maturité de 3 mois, dont les tirages seraient remboursés avant tout nouveau tirage.</w:t>
      </w:r>
    </w:p>
    <w:p>
      <w:pPr>
        <w:spacing w:after="200" w:line="250"/>
        <w:jc w:val="both"/>
      </w:pPr>
      <w:r>
        <w:rPr>
          <w:rFonts w:ascii="Calibri" w:cs="Calibri" w:eastAsia="Calibri" w:hAnsi="Calibri"/>
          <w:sz w:val="21"/>
          <w:szCs w:val="21"/>
        </w:rPr>
        <w:t xml:space="preserve">Le schéma de garanties, la maturité des autres lignes et l'exposition totale (7 500 MXOF) demeurent inchangés.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Emprunteur</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SOCIETE GENERALE D'ELECTRICITE DE LUXE (SOGELUX)</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N° Client / RCT</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116 304 377 / AQO9305</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Marché / Booking</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CDS – SGCI – PCRU : AFMO/BAN/CIV</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Notation</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SG LC 6 / SG FC 6 – BHFM 5 – Validité 24/06/2027 (DVA 22/06/2027)</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Statut / KYC</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S1 – KYC RISQUE ELEVE, échéance 29/12/2026</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LL / E&amp;S / CCVI</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Non éligible LL (PME) – E&amp;S non éligible – CCVI Tr. et Ph. : modérément négatif</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Exposition post-waiver</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7 500 MXOF (inchangée)</w:t>
            </w:r>
          </w:p>
        </w:tc>
      </w:tr>
      <w:tr>
        <w:tc>
          <w:tcPr>
            <w:tcW w:type="dxa" w:w="26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Pouvoirs de décision</w:t>
            </w:r>
          </w:p>
        </w:tc>
        <w:tc>
          <w:tcPr>
            <w:tcW w:type="dxa" w:w="6426"/>
            <w:tcMar>
              <w:top w:type="dxa" w:w="60"/>
              <w:left w:type="dxa" w:w="80"/>
              <w:bottom w:type="dxa" w:w="60"/>
              <w:right w:type="dxa" w:w="80"/>
            </w:tcMar>
          </w:tcPr>
          <w:p>
            <w:pPr>
              <w:spacing w:after="0" w:line="240"/>
              <w:jc w:val="left"/>
            </w:pPr>
            <w:r>
              <w:rPr>
                <w:rFonts w:ascii="Calibri" w:cs="Calibri" w:eastAsia="Calibri" w:hAnsi="Calibri"/>
                <w:sz w:val="19"/>
                <w:szCs w:val="19"/>
              </w:rPr>
              <w:t xml:space="preserve">HLAD DRC/DGA/RISQ CRE</w:t>
            </w:r>
          </w:p>
        </w:tc>
      </w:tr>
    </w:tbl>
    <w:p>
      <w:pPr>
        <w:spacing w:after="200" w:line="250"/>
        <w:jc w:val="both"/>
      </w:pPr>
      <w:r>
        <w:rPr>
          <w:rFonts w:ascii="Calibri" w:cs="Calibri" w:eastAsia="Calibri" w:hAnsi="Calibri"/>
          <w:sz w:val="21"/>
          <w:szCs w:val="21"/>
        </w:rPr>
        <w:t xml:space="preserve"/>
      </w:r>
    </w:p>
    <w:p>
      <w:pPr>
        <w:pBdr>
          <w:bottom w:val="single" w:color="C00000" w:sz="6" w:space="2"/>
        </w:pBdr>
        <w:spacing w:after="120" w:before="240"/>
      </w:pPr>
      <w:r>
        <w:rPr>
          <w:rFonts w:ascii="Calibri" w:cs="Calibri" w:eastAsia="Calibri" w:hAnsi="Calibri"/>
          <w:b/>
          <w:bCs/>
          <w:caps w:val="false"/>
          <w:color w:val="C00000"/>
          <w:sz w:val="22"/>
          <w:szCs w:val="22"/>
        </w:rPr>
        <w:t xml:space="preserve">1. RAPPEL DE LA NOTIFICATION DU 25 JUIN 2026</w:t>
      </w:r>
    </w:p>
    <w:p>
      <w:pPr>
        <w:spacing w:after="120" w:line="250"/>
        <w:jc w:val="both"/>
      </w:pPr>
      <w:r>
        <w:rPr>
          <w:rFonts w:ascii="Calibri" w:cs="Calibri" w:eastAsia="Calibri" w:hAnsi="Calibri"/>
          <w:sz w:val="21"/>
          <w:szCs w:val="21"/>
        </w:rPr>
        <w:t xml:space="preserve">Par notification du 25 juin 2026 (avis RISQ/SGCI du 11 juin 2026 et validation RISQ/CRE du 24 juin 2026), les lignes d'exploitation de SOGELUX ont été renouvelées pour un total de 7 500 MXOF, sous réserves bloquantes.</w:t>
      </w:r>
    </w:p>
    <w:p>
      <w:pPr>
        <w:spacing w:after="200" w:line="250"/>
        <w:jc w:val="both"/>
      </w:pPr>
      <w:r>
        <w:rPr>
          <w:rFonts w:ascii="Calibri" w:cs="Calibri" w:eastAsia="Calibri" w:hAnsi="Calibri"/>
          <w:sz w:val="21"/>
          <w:szCs w:val="21"/>
        </w:rPr>
        <w:t xml:space="preserve">Il convient de rappeler que la répartition Découvert 1 250 MXOF / SPOT 1 000 MXOF ne correspond pas à la demande initiale du client (Découvert 250 MXOF / SPOT 2 000 MXOF) : elle procède d'une proposition expresse de RISQ/SGCI, motivée par le constat que la ligne de SPOT fonctionne en réalité comme une ligne revolving destinée au financement du cycle d'exploitation courant, en l'absence de saisonnalité marquée, et par la volonté de mettre fin au rolling constaté (10 tirages en 2025, dont 8 tombés en impayé, régularisés par de nouveaux tirages).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D9D9D9"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Lignes (MXOF)</w:t>
            </w:r>
          </w:p>
        </w:tc>
        <w:tc>
          <w:tcPr>
            <w:tcW w:type="dxa" w:w="3313"/>
            <w:shd w:fill="D9D9D9"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Notification du 25/06/2026</w:t>
            </w:r>
          </w:p>
        </w:tc>
        <w:tc>
          <w:tcPr>
            <w:tcW w:type="dxa" w:w="3313"/>
            <w:shd w:fill="D9D9D9"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Révision sollicitée (waiver)</w:t>
            </w:r>
          </w:p>
        </w:tc>
      </w:tr>
      <w:tr>
        <w:tc>
          <w:tcPr>
            <w:tcW w:type="dxa" w:w="2400"/>
            <w:tcMar>
              <w:top w:type="dxa" w:w="60"/>
              <w:left w:type="dxa" w:w="80"/>
              <w:bottom w:type="dxa" w:w="60"/>
              <w:right w:type="dxa" w:w="80"/>
            </w:tcMar>
          </w:tcPr>
          <w:p>
            <w:pPr>
              <w:spacing w:after="0" w:line="240"/>
              <w:jc w:val="left"/>
            </w:pPr>
            <w:r>
              <w:rPr>
                <w:rFonts w:ascii="Calibri" w:cs="Calibri" w:eastAsia="Calibri" w:hAnsi="Calibri"/>
                <w:sz w:val="19"/>
                <w:szCs w:val="19"/>
              </w:rPr>
              <w:t xml:space="preserve">Découvert</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1 250</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250</w:t>
            </w:r>
          </w:p>
        </w:tc>
      </w:tr>
      <w:tr>
        <w:tc>
          <w:tcPr>
            <w:tcW w:type="dxa" w:w="2400"/>
            <w:tcMar>
              <w:top w:type="dxa" w:w="60"/>
              <w:left w:type="dxa" w:w="80"/>
              <w:bottom w:type="dxa" w:w="60"/>
              <w:right w:type="dxa" w:w="80"/>
            </w:tcMar>
          </w:tcPr>
          <w:p>
            <w:pPr>
              <w:spacing w:after="0" w:line="240"/>
              <w:jc w:val="left"/>
            </w:pPr>
            <w:r>
              <w:rPr>
                <w:rFonts w:ascii="Calibri" w:cs="Calibri" w:eastAsia="Calibri" w:hAnsi="Calibri"/>
                <w:sz w:val="19"/>
                <w:szCs w:val="19"/>
              </w:rPr>
              <w:t xml:space="preserve">CCT revolving (nouvelle ligne)</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1 000</w:t>
            </w:r>
          </w:p>
        </w:tc>
      </w:tr>
      <w:tr>
        <w:tc>
          <w:tcPr>
            <w:tcW w:type="dxa" w:w="2400"/>
            <w:tcMar>
              <w:top w:type="dxa" w:w="60"/>
              <w:left w:type="dxa" w:w="80"/>
              <w:bottom w:type="dxa" w:w="60"/>
              <w:right w:type="dxa" w:w="80"/>
            </w:tcMar>
          </w:tcPr>
          <w:p>
            <w:pPr>
              <w:spacing w:after="0" w:line="240"/>
              <w:jc w:val="left"/>
            </w:pPr>
            <w:r>
              <w:rPr>
                <w:rFonts w:ascii="Calibri" w:cs="Calibri" w:eastAsia="Calibri" w:hAnsi="Calibri"/>
                <w:sz w:val="19"/>
                <w:szCs w:val="19"/>
              </w:rPr>
              <w:t xml:space="preserve">SPOT</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1 000</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1 000</w:t>
            </w:r>
          </w:p>
        </w:tc>
      </w:tr>
      <w:tr>
        <w:tc>
          <w:tcPr>
            <w:tcW w:type="dxa" w:w="2400"/>
            <w:tcMar>
              <w:top w:type="dxa" w:w="60"/>
              <w:left w:type="dxa" w:w="80"/>
              <w:bottom w:type="dxa" w:w="60"/>
              <w:right w:type="dxa" w:w="80"/>
            </w:tcMar>
          </w:tcPr>
          <w:p>
            <w:pPr>
              <w:spacing w:after="0" w:line="240"/>
              <w:jc w:val="left"/>
            </w:pPr>
            <w:r>
              <w:rPr>
                <w:rFonts w:ascii="Calibri" w:cs="Calibri" w:eastAsia="Calibri" w:hAnsi="Calibri"/>
                <w:sz w:val="19"/>
                <w:szCs w:val="19"/>
              </w:rPr>
              <w:t xml:space="preserve">ASBC / EPC</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2 500</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2 500</w:t>
            </w:r>
          </w:p>
        </w:tc>
      </w:tr>
      <w:tr>
        <w:tc>
          <w:tcPr>
            <w:tcW w:type="dxa" w:w="2400"/>
            <w:tcMar>
              <w:top w:type="dxa" w:w="60"/>
              <w:left w:type="dxa" w:w="80"/>
              <w:bottom w:type="dxa" w:w="60"/>
              <w:right w:type="dxa" w:w="80"/>
            </w:tcMar>
          </w:tcPr>
          <w:p>
            <w:pPr>
              <w:spacing w:after="0" w:line="240"/>
              <w:jc w:val="left"/>
            </w:pPr>
            <w:r>
              <w:rPr>
                <w:rFonts w:ascii="Calibri" w:cs="Calibri" w:eastAsia="Calibri" w:hAnsi="Calibri"/>
                <w:sz w:val="19"/>
                <w:szCs w:val="19"/>
              </w:rPr>
              <w:t xml:space="preserve">CREDOC</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2 750</w:t>
            </w:r>
          </w:p>
        </w:tc>
        <w:tc>
          <w:tcPr>
            <w:tcW w:type="dxa" w:w="3313"/>
            <w:tcMar>
              <w:top w:type="dxa" w:w="60"/>
              <w:left w:type="dxa" w:w="80"/>
              <w:bottom w:type="dxa" w:w="60"/>
              <w:right w:type="dxa" w:w="80"/>
            </w:tcMar>
          </w:tcPr>
          <w:p>
            <w:pPr>
              <w:spacing w:after="0" w:line="240"/>
              <w:jc w:val="center"/>
            </w:pPr>
            <w:r>
              <w:rPr>
                <w:rFonts w:ascii="Calibri" w:cs="Calibri" w:eastAsia="Calibri" w:hAnsi="Calibri"/>
                <w:sz w:val="19"/>
                <w:szCs w:val="19"/>
              </w:rPr>
              <w:t xml:space="preserve">2 750</w:t>
            </w:r>
          </w:p>
        </w:tc>
      </w:tr>
      <w:tr>
        <w:tc>
          <w:tcPr>
            <w:tcW w:type="dxa" w:w="2400"/>
            <w:shd w:fill="F2F2F2"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TOTAL</w:t>
            </w:r>
          </w:p>
        </w:tc>
        <w:tc>
          <w:tcPr>
            <w:tcW w:type="dxa" w:w="3313"/>
            <w:shd w:fill="F2F2F2"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7 500</w:t>
            </w:r>
          </w:p>
        </w:tc>
        <w:tc>
          <w:tcPr>
            <w:tcW w:type="dxa" w:w="3313"/>
            <w:shd w:fill="F2F2F2"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7 500</w:t>
            </w:r>
          </w:p>
        </w:tc>
      </w:tr>
    </w:tbl>
    <w:p>
      <w:pPr>
        <w:spacing w:after="200" w:line="250"/>
        <w:jc w:val="both"/>
      </w:pPr>
      <w:r>
        <w:rPr>
          <w:rFonts w:ascii="Calibri" w:cs="Calibri" w:eastAsia="Calibri" w:hAnsi="Calibri"/>
          <w:sz w:val="21"/>
          <w:szCs w:val="21"/>
        </w:rPr>
        <w:t xml:space="preserve"/>
      </w:r>
    </w:p>
    <w:p>
      <w:pPr>
        <w:pBdr>
          <w:bottom w:val="single" w:color="C00000" w:sz="6" w:space="2"/>
        </w:pBdr>
        <w:spacing w:after="120" w:before="240"/>
      </w:pPr>
      <w:r>
        <w:rPr>
          <w:rFonts w:ascii="Calibri" w:cs="Calibri" w:eastAsia="Calibri" w:hAnsi="Calibri"/>
          <w:b/>
          <w:bCs/>
          <w:caps w:val="false"/>
          <w:color w:val="C00000"/>
          <w:sz w:val="22"/>
          <w:szCs w:val="22"/>
        </w:rPr>
        <w:t xml:space="preserve">2. SITUATION DES ENGAGEMENTS ET FONCTIONNEMENT DU COMPTE</w:t>
      </w:r>
    </w:p>
    <w:p>
      <w:pPr>
        <w:spacing w:after="160" w:line="250"/>
        <w:jc w:val="both"/>
      </w:pPr>
      <w:r>
        <w:rPr>
          <w:rFonts w:ascii="Calibri" w:cs="Calibri" w:eastAsia="Calibri" w:hAnsi="Calibri"/>
          <w:sz w:val="21"/>
          <w:szCs w:val="21"/>
        </w:rPr>
        <w:t xml:space="preserve">Les lignes notifiées le 25 juin 2026 n'ont pas été magnétisées, les réserves bloquantes n'étant pas levées à date. Le client continue donc de fonctionner sur les anciennes autorisations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426"/>
      </w:tblGrid>
      <w:tr>
        <w:trPr>
          <w:tblHeader/>
        </w:trPr>
        <w:tc>
          <w:tcPr>
            <w:tcW w:type="dxa" w:w="2200"/>
            <w:shd w:fill="D9D9D9"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En MXOF</w:t>
            </w:r>
          </w:p>
        </w:tc>
        <w:tc>
          <w:tcPr>
            <w:tcW w:type="dxa" w:w="1700"/>
            <w:shd w:fill="D9D9D9"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Autorisation en vigueur</w:t>
            </w:r>
          </w:p>
        </w:tc>
        <w:tc>
          <w:tcPr>
            <w:tcW w:type="dxa" w:w="1700"/>
            <w:shd w:fill="D9D9D9" w:color="auto" w:val="clear"/>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Encours</w:t>
            </w:r>
          </w:p>
        </w:tc>
        <w:tc>
          <w:tcPr>
            <w:tcW w:type="dxa" w:w="3426"/>
            <w:shd w:fill="D9D9D9" w:color="auto" w:val="clear"/>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Observations</w:t>
            </w:r>
          </w:p>
        </w:tc>
      </w:tr>
      <w:tr>
        <w:tc>
          <w:tcPr>
            <w:tcW w:type="dxa" w:w="2200"/>
            <w:tcMar>
              <w:top w:type="dxa" w:w="60"/>
              <w:left w:type="dxa" w:w="80"/>
              <w:bottom w:type="dxa" w:w="60"/>
              <w:right w:type="dxa" w:w="80"/>
            </w:tcMar>
          </w:tcPr>
          <w:p>
            <w:pPr>
              <w:spacing w:after="0" w:line="240"/>
              <w:jc w:val="left"/>
            </w:pPr>
            <w:r>
              <w:rPr>
                <w:rFonts w:ascii="Calibri" w:cs="Calibri" w:eastAsia="Calibri" w:hAnsi="Calibri"/>
                <w:b w:val="false"/>
                <w:bCs w:val="false"/>
                <w:sz w:val="19"/>
                <w:szCs w:val="19"/>
              </w:rPr>
              <w:t xml:space="preserve">Découvert</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200</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251</w:t>
            </w:r>
          </w:p>
        </w:tc>
        <w:tc>
          <w:tcPr>
            <w:tcW w:type="dxa" w:w="3426"/>
            <w:tcMar>
              <w:top w:type="dxa" w:w="60"/>
              <w:left w:type="dxa" w:w="80"/>
              <w:bottom w:type="dxa" w:w="60"/>
              <w:right w:type="dxa" w:w="80"/>
            </w:tcMar>
          </w:tcPr>
          <w:p>
            <w:pPr>
              <w:spacing w:after="0" w:line="240"/>
              <w:jc w:val="left"/>
            </w:pPr>
            <w:r>
              <w:rPr>
                <w:rFonts w:ascii="Calibri" w:cs="Calibri" w:eastAsia="Calibri" w:hAnsi="Calibri"/>
                <w:sz w:val="19"/>
                <w:szCs w:val="19"/>
              </w:rPr>
              <w:t xml:space="preserve">Dépassement de 51 MXOF à date ; dépassements récurrents (pic historique 478 MXOF)</w:t>
            </w:r>
          </w:p>
        </w:tc>
      </w:tr>
      <w:tr>
        <w:tc>
          <w:tcPr>
            <w:tcW w:type="dxa" w:w="2200"/>
            <w:tcMar>
              <w:top w:type="dxa" w:w="60"/>
              <w:left w:type="dxa" w:w="80"/>
              <w:bottom w:type="dxa" w:w="60"/>
              <w:right w:type="dxa" w:w="80"/>
            </w:tcMar>
          </w:tcPr>
          <w:p>
            <w:pPr>
              <w:spacing w:after="0" w:line="240"/>
              <w:jc w:val="left"/>
            </w:pPr>
            <w:r>
              <w:rPr>
                <w:rFonts w:ascii="Calibri" w:cs="Calibri" w:eastAsia="Calibri" w:hAnsi="Calibri"/>
                <w:b w:val="false"/>
                <w:bCs w:val="false"/>
                <w:sz w:val="19"/>
                <w:szCs w:val="19"/>
              </w:rPr>
              <w:t xml:space="preserve">SPOT</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2 000</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2 000</w:t>
            </w:r>
          </w:p>
        </w:tc>
        <w:tc>
          <w:tcPr>
            <w:tcW w:type="dxa" w:w="3426"/>
            <w:tcMar>
              <w:top w:type="dxa" w:w="60"/>
              <w:left w:type="dxa" w:w="80"/>
              <w:bottom w:type="dxa" w:w="60"/>
              <w:right w:type="dxa" w:w="80"/>
            </w:tcMar>
          </w:tcPr>
          <w:p>
            <w:pPr>
              <w:spacing w:after="0" w:line="240"/>
              <w:jc w:val="left"/>
            </w:pPr>
            <w:r>
              <w:rPr>
                <w:rFonts w:ascii="Calibri" w:cs="Calibri" w:eastAsia="Calibri" w:hAnsi="Calibri"/>
                <w:sz w:val="19"/>
                <w:szCs w:val="19"/>
              </w:rPr>
              <w:t xml:space="preserve">Ligne intégralement tirée ; encours supérieur à l'autorisation cible de 1 000 MXOF</w:t>
            </w:r>
          </w:p>
        </w:tc>
      </w:tr>
      <w:tr>
        <w:tc>
          <w:tcPr>
            <w:tcW w:type="dxa" w:w="2200"/>
            <w:tcMar>
              <w:top w:type="dxa" w:w="60"/>
              <w:left w:type="dxa" w:w="80"/>
              <w:bottom w:type="dxa" w:w="60"/>
              <w:right w:type="dxa" w:w="80"/>
            </w:tcMar>
          </w:tcPr>
          <w:p>
            <w:pPr>
              <w:spacing w:after="0" w:line="240"/>
              <w:jc w:val="left"/>
            </w:pPr>
            <w:r>
              <w:rPr>
                <w:rFonts w:ascii="Calibri" w:cs="Calibri" w:eastAsia="Calibri" w:hAnsi="Calibri"/>
                <w:b w:val="false"/>
                <w:bCs w:val="false"/>
                <w:sz w:val="19"/>
                <w:szCs w:val="19"/>
              </w:rPr>
              <w:t xml:space="preserve">ASBC / EPC</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1 500</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103</w:t>
            </w:r>
          </w:p>
        </w:tc>
        <w:tc>
          <w:tcPr>
            <w:tcW w:type="dxa" w:w="3426"/>
            <w:tcMar>
              <w:top w:type="dxa" w:w="60"/>
              <w:left w:type="dxa" w:w="80"/>
              <w:bottom w:type="dxa" w:w="60"/>
              <w:right w:type="dxa" w:w="80"/>
            </w:tcMar>
          </w:tcPr>
          <w:p>
            <w:pPr>
              <w:spacing w:after="0" w:line="240"/>
              <w:jc w:val="left"/>
            </w:pPr>
            <w:r>
              <w:rPr>
                <w:rFonts w:ascii="Calibri" w:cs="Calibri" w:eastAsia="Calibri" w:hAnsi="Calibri"/>
                <w:sz w:val="19"/>
                <w:szCs w:val="19"/>
              </w:rPr>
              <w:t xml:space="preserve">Ligne mixte ; faible utilisation à date</w:t>
            </w:r>
          </w:p>
        </w:tc>
      </w:tr>
      <w:tr>
        <w:tc>
          <w:tcPr>
            <w:tcW w:type="dxa" w:w="2200"/>
            <w:tcMar>
              <w:top w:type="dxa" w:w="60"/>
              <w:left w:type="dxa" w:w="80"/>
              <w:bottom w:type="dxa" w:w="60"/>
              <w:right w:type="dxa" w:w="80"/>
            </w:tcMar>
          </w:tcPr>
          <w:p>
            <w:pPr>
              <w:spacing w:after="0" w:line="240"/>
              <w:jc w:val="left"/>
            </w:pPr>
            <w:r>
              <w:rPr>
                <w:rFonts w:ascii="Calibri" w:cs="Calibri" w:eastAsia="Calibri" w:hAnsi="Calibri"/>
                <w:b w:val="false"/>
                <w:bCs w:val="false"/>
                <w:sz w:val="19"/>
                <w:szCs w:val="19"/>
              </w:rPr>
              <w:t xml:space="preserve">CREDOC</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2 000</w:t>
            </w:r>
          </w:p>
        </w:tc>
        <w:tc>
          <w:tcPr>
            <w:tcW w:type="dxa" w:w="1700"/>
            <w:tcMar>
              <w:top w:type="dxa" w:w="60"/>
              <w:left w:type="dxa" w:w="80"/>
              <w:bottom w:type="dxa" w:w="60"/>
              <w:right w:type="dxa" w:w="80"/>
            </w:tcMar>
          </w:tcPr>
          <w:p>
            <w:pPr>
              <w:spacing w:after="0" w:line="240"/>
              <w:jc w:val="center"/>
            </w:pPr>
            <w:r>
              <w:rPr>
                <w:rFonts w:ascii="Calibri" w:cs="Calibri" w:eastAsia="Calibri" w:hAnsi="Calibri"/>
                <w:b w:val="false"/>
                <w:bCs w:val="false"/>
                <w:sz w:val="19"/>
                <w:szCs w:val="19"/>
              </w:rPr>
              <w:t xml:space="preserve">1 125</w:t>
            </w:r>
          </w:p>
        </w:tc>
        <w:tc>
          <w:tcPr>
            <w:tcW w:type="dxa" w:w="3426"/>
            <w:tcMar>
              <w:top w:type="dxa" w:w="60"/>
              <w:left w:type="dxa" w:w="80"/>
              <w:bottom w:type="dxa" w:w="60"/>
              <w:right w:type="dxa" w:w="80"/>
            </w:tcMar>
          </w:tcPr>
          <w:p>
            <w:pPr>
              <w:spacing w:after="0" w:line="240"/>
              <w:jc w:val="left"/>
            </w:pPr>
            <w:r>
              <w:rPr>
                <w:rFonts w:ascii="Calibri" w:cs="Calibri" w:eastAsia="Calibri" w:hAnsi="Calibri"/>
                <w:sz w:val="19"/>
                <w:szCs w:val="19"/>
              </w:rPr>
              <w:t xml:space="preserve">Remboursement en cours</w:t>
            </w:r>
          </w:p>
        </w:tc>
      </w:tr>
      <w:tr>
        <w:tc>
          <w:tcPr>
            <w:tcW w:type="dxa" w:w="2200"/>
            <w:tcMar>
              <w:top w:type="dxa" w:w="60"/>
              <w:left w:type="dxa" w:w="80"/>
              <w:bottom w:type="dxa" w:w="60"/>
              <w:right w:type="dxa" w:w="80"/>
            </w:tcMar>
          </w:tcPr>
          <w:p>
            <w:pPr>
              <w:spacing w:after="0" w:line="240"/>
              <w:jc w:val="left"/>
            </w:pPr>
            <w:r>
              <w:rPr>
                <w:rFonts w:ascii="Calibri" w:cs="Calibri" w:eastAsia="Calibri" w:hAnsi="Calibri"/>
                <w:b/>
                <w:bCs/>
                <w:sz w:val="19"/>
                <w:szCs w:val="19"/>
              </w:rPr>
              <w:t xml:space="preserve">TOTAL</w:t>
            </w:r>
          </w:p>
        </w:tc>
        <w:tc>
          <w:tcPr>
            <w:tcW w:type="dxa" w:w="1700"/>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5 700</w:t>
            </w:r>
          </w:p>
        </w:tc>
        <w:tc>
          <w:tcPr>
            <w:tcW w:type="dxa" w:w="1700"/>
            <w:tcMar>
              <w:top w:type="dxa" w:w="60"/>
              <w:left w:type="dxa" w:w="80"/>
              <w:bottom w:type="dxa" w:w="60"/>
              <w:right w:type="dxa" w:w="80"/>
            </w:tcMar>
          </w:tcPr>
          <w:p>
            <w:pPr>
              <w:spacing w:after="0" w:line="240"/>
              <w:jc w:val="center"/>
            </w:pPr>
            <w:r>
              <w:rPr>
                <w:rFonts w:ascii="Calibri" w:cs="Calibri" w:eastAsia="Calibri" w:hAnsi="Calibri"/>
                <w:b/>
                <w:bCs/>
                <w:sz w:val="19"/>
                <w:szCs w:val="19"/>
              </w:rPr>
              <w:t xml:space="preserve">3 479</w:t>
            </w:r>
          </w:p>
        </w:tc>
        <w:tc>
          <w:tcPr>
            <w:tcW w:type="dxa" w:w="3426"/>
            <w:tcMar>
              <w:top w:type="dxa" w:w="60"/>
              <w:left w:type="dxa" w:w="80"/>
              <w:bottom w:type="dxa" w:w="60"/>
              <w:right w:type="dxa" w:w="80"/>
            </w:tcMar>
          </w:tcPr>
          <w:p>
            <w:pPr>
              <w:spacing w:after="0" w:line="240"/>
              <w:jc w:val="left"/>
            </w:pPr>
            <w:r>
              <w:rPr>
                <w:rFonts w:ascii="Calibri" w:cs="Calibri" w:eastAsia="Calibri" w:hAnsi="Calibri"/>
                <w:sz w:val="19"/>
                <w:szCs w:val="19"/>
              </w:rPr>
              <w:t xml:space="preserve">Lignes du 25/06/2026 non magnétisées (réserves bloquantes non levées)</w:t>
            </w:r>
          </w:p>
        </w:tc>
      </w:tr>
    </w:tbl>
    <w:p>
      <w:pPr>
        <w:spacing w:after="160" w:line="250"/>
        <w:jc w:val="both"/>
      </w:pPr>
      <w:r>
        <w:rPr>
          <w:rFonts w:ascii="Calibri" w:cs="Calibri" w:eastAsia="Calibri" w:hAnsi="Calibri"/>
          <w:sz w:val="21"/>
          <w:szCs w:val="21"/>
        </w:rPr>
        <w:t xml:space="preserve"/>
      </w:r>
    </w:p>
    <w:p>
      <w:pPr>
        <w:spacing w:after="200" w:line="250"/>
        <w:jc w:val="both"/>
      </w:pPr>
      <w:r>
        <w:rPr>
          <w:rFonts w:ascii="Calibri" w:cs="Calibri" w:eastAsia="Calibri" w:hAnsi="Calibri"/>
          <w:sz w:val="21"/>
          <w:szCs w:val="21"/>
        </w:rPr>
        <w:t xml:space="preserve">Sur le plan financier, la relation conserve des fondamentaux solides : CA provisoire 2025 de 34 039 MXOF (+5 %), RN de 560 MXOF, ratio de solvabilité de 74,7 %, gearing de 0,13x et leverage de 1,3x, FDR (177j de CA) couvrant intégralement le BFR (160j de CA) pour une trésorerie nette excédentaire de 17j de CA. Les mouvements confiés sont bien orientés : 19 003 MXOF à juillet 2026 pour des FMM de 2 714 MXOF, contre 1 574 MXOF en moyenne sur 2025, pour une part dans les engagements de 36 %.</w:t>
      </w:r>
    </w:p>
    <w:p>
      <w:pPr>
        <w:pBdr>
          <w:bottom w:val="single" w:color="C00000" w:sz="6" w:space="2"/>
        </w:pBdr>
        <w:spacing w:after="120" w:before="240"/>
      </w:pPr>
      <w:r>
        <w:rPr>
          <w:rFonts w:ascii="Calibri" w:cs="Calibri" w:eastAsia="Calibri" w:hAnsi="Calibri"/>
          <w:b/>
          <w:bCs/>
          <w:caps w:val="false"/>
          <w:color w:val="C00000"/>
          <w:sz w:val="22"/>
          <w:szCs w:val="22"/>
        </w:rPr>
        <w:t xml:space="preserve">3. ANALYSE DE LA DEMANDE</w:t>
      </w:r>
    </w:p>
    <w:p>
      <w:pPr>
        <w:spacing w:after="100" w:line="250"/>
        <w:jc w:val="both"/>
      </w:pPr>
      <w:r>
        <w:rPr>
          <w:rFonts w:ascii="Calibri" w:cs="Calibri" w:eastAsia="Calibri" w:hAnsi="Calibri"/>
          <w:b/>
          <w:bCs/>
          <w:sz w:val="21"/>
          <w:szCs w:val="21"/>
          <w:u w:val="single"/>
        </w:rPr>
        <w:t xml:space="preserve">Éléments favorables</w:t>
      </w:r>
    </w:p>
    <w:p>
      <w:pPr>
        <w:pStyle w:val="ListParagraph"/>
        <w:numPr>
          <w:ilvl w:val="0"/>
          <w:numId w:val="1"/>
        </w:numPr>
        <w:spacing w:after="80" w:line="250"/>
        <w:jc w:val="both"/>
      </w:pPr>
      <w:r>
        <w:rPr>
          <w:rFonts w:ascii="Calibri" w:cs="Calibri" w:eastAsia="Calibri" w:hAnsi="Calibri"/>
          <w:sz w:val="21"/>
          <w:szCs w:val="21"/>
        </w:rPr>
        <w:t xml:space="preserve">Exposition globale strictement inchangée à 7 500 MXOF, sans modification du schéma de garanties ni de la maturité des autres lignes ;</w:t>
      </w:r>
    </w:p>
    <w:p>
      <w:pPr>
        <w:pStyle w:val="ListParagraph"/>
        <w:numPr>
          <w:ilvl w:val="0"/>
          <w:numId w:val="1"/>
        </w:numPr>
        <w:spacing w:after="80" w:line="250"/>
        <w:jc w:val="both"/>
      </w:pPr>
      <w:r>
        <w:rPr>
          <w:rFonts w:ascii="Calibri" w:cs="Calibri" w:eastAsia="Calibri" w:hAnsi="Calibri"/>
          <w:sz w:val="21"/>
          <w:szCs w:val="21"/>
        </w:rPr>
        <w:t xml:space="preserve">Compte structurellement créditeur (266 jours créditeurs contre 99 jours débiteurs) et flux en progression sensible depuis le début de l'exercice 2026 ;</w:t>
      </w:r>
    </w:p>
    <w:p>
      <w:pPr>
        <w:pStyle w:val="ListParagraph"/>
        <w:numPr>
          <w:ilvl w:val="0"/>
          <w:numId w:val="1"/>
        </w:numPr>
        <w:spacing w:after="80" w:line="250"/>
        <w:jc w:val="both"/>
      </w:pPr>
      <w:r>
        <w:rPr>
          <w:rFonts w:ascii="Calibri" w:cs="Calibri" w:eastAsia="Calibri" w:hAnsi="Calibri"/>
          <w:sz w:val="21"/>
          <w:szCs w:val="21"/>
        </w:rPr>
        <w:t xml:space="preserve">Le format CCT revolving présente, par rapport au découvert, l'avantage d'un remboursement contractuel à échéance ferme : tout défaut de dénouement est immédiatement visible et constitue un signal d'alerte, là où un découvert permanent tend à le masquer ;</w:t>
      </w:r>
    </w:p>
    <w:p>
      <w:pPr>
        <w:pStyle w:val="ListParagraph"/>
        <w:numPr>
          <w:ilvl w:val="0"/>
          <w:numId w:val="1"/>
        </w:numPr>
        <w:spacing w:after="80" w:line="250"/>
        <w:jc w:val="both"/>
      </w:pPr>
      <w:r>
        <w:rPr>
          <w:rFonts w:ascii="Calibri" w:cs="Calibri" w:eastAsia="Calibri" w:hAnsi="Calibri"/>
          <w:sz w:val="21"/>
          <w:szCs w:val="21"/>
        </w:rPr>
        <w:t xml:space="preserve">Structure financière solide et relation de plus de 15 ans, bien connue de SG.</w:t>
      </w:r>
    </w:p>
    <w:p>
      <w:pPr>
        <w:spacing w:after="20" w:line="250"/>
        <w:jc w:val="both"/>
      </w:pPr>
      <w:r>
        <w:rPr>
          <w:rFonts w:ascii="Calibri" w:cs="Calibri" w:eastAsia="Calibri" w:hAnsi="Calibri"/>
          <w:sz w:val="21"/>
          <w:szCs w:val="21"/>
        </w:rPr>
        <w:t xml:space="preserve"/>
      </w:r>
    </w:p>
    <w:p>
      <w:pPr>
        <w:spacing w:after="100" w:line="250"/>
        <w:jc w:val="both"/>
      </w:pPr>
      <w:r>
        <w:rPr>
          <w:rFonts w:ascii="Calibri" w:cs="Calibri" w:eastAsia="Calibri" w:hAnsi="Calibri"/>
          <w:b/>
          <w:bCs/>
          <w:sz w:val="21"/>
          <w:szCs w:val="21"/>
          <w:u w:val="single"/>
        </w:rPr>
        <w:t xml:space="preserve">Points d'attention</w:t>
      </w:r>
    </w:p>
    <w:p>
      <w:pPr>
        <w:pStyle w:val="ListParagraph"/>
        <w:numPr>
          <w:ilvl w:val="0"/>
          <w:numId w:val="1"/>
        </w:numPr>
        <w:spacing w:after="80" w:line="250"/>
        <w:jc w:val="both"/>
      </w:pPr>
      <w:r>
        <w:rPr>
          <w:rFonts w:ascii="Calibri" w:cs="Calibri" w:eastAsia="Calibri" w:hAnsi="Calibri"/>
          <w:sz w:val="21"/>
          <w:szCs w:val="21"/>
        </w:rPr>
        <w:t xml:space="preserve">La demande revient, en substance, à reconstituer 2 000 MXOF de crédits de trésorerie revolving (1 000 SPOT + 1 000 CCT) associés à un découvert de 250 MXOF, soit précisément la configuration que RISQ/SGCI a écartée le 11 juin 2026. Le changement de dénomination ne modifie pas la nature du risque.</w:t>
      </w:r>
    </w:p>
    <w:p>
      <w:pPr>
        <w:pStyle w:val="ListParagraph"/>
        <w:numPr>
          <w:ilvl w:val="0"/>
          <w:numId w:val="1"/>
        </w:numPr>
        <w:spacing w:after="80" w:line="250"/>
        <w:jc w:val="both"/>
      </w:pPr>
      <w:r>
        <w:rPr>
          <w:rFonts w:ascii="Calibri" w:cs="Calibri" w:eastAsia="Calibri" w:hAnsi="Calibri"/>
          <w:sz w:val="21"/>
          <w:szCs w:val="21"/>
        </w:rPr>
        <w:t xml:space="preserve">L'encours SPOT s'établit à 2 000 MXOF, intégralement tiré, pour une autorisation cible ramenée à 1 000 MXOF. La ligne de CCT revolving sollicitée permettrait d'absorber ce surplus d'encours sans exécution du plan d'apurement demandé (échéance fin juin 2026), lequel n'a pas été communiqué à date.</w:t>
      </w:r>
    </w:p>
    <w:p>
      <w:pPr>
        <w:pStyle w:val="ListParagraph"/>
        <w:numPr>
          <w:ilvl w:val="0"/>
          <w:numId w:val="1"/>
        </w:numPr>
        <w:spacing w:after="80" w:line="250"/>
        <w:jc w:val="both"/>
      </w:pPr>
      <w:r>
        <w:rPr>
          <w:rFonts w:ascii="Calibri" w:cs="Calibri" w:eastAsia="Calibri" w:hAnsi="Calibri"/>
          <w:sz w:val="21"/>
          <w:szCs w:val="21"/>
        </w:rPr>
        <w:t xml:space="preserve">Au vu de l'historique de la relation (8 impayés sur 10 tirages SPOT en 2025, 3 tirages ASBC tous tombés en impayé, régularisés sous 13 jours), la mise en place d'une ligne à échéance ferme sans discipline de remboursement renforcée présente un risque mécanique de génération d'impayés, avec les conséquences associées en matière de critères UTP et de classement du dossier.</w:t>
      </w:r>
    </w:p>
    <w:p>
      <w:pPr>
        <w:pStyle w:val="ListParagraph"/>
        <w:numPr>
          <w:ilvl w:val="0"/>
          <w:numId w:val="1"/>
        </w:numPr>
        <w:spacing w:after="80" w:line="250"/>
        <w:jc w:val="both"/>
      </w:pPr>
      <w:r>
        <w:rPr>
          <w:rFonts w:ascii="Calibri" w:cs="Calibri" w:eastAsia="Calibri" w:hAnsi="Calibri"/>
          <w:sz w:val="21"/>
          <w:szCs w:val="21"/>
        </w:rPr>
        <w:t xml:space="preserve">Le découvert présente à date un dépassement (encours 251 MXOF pour une autorisation de 200 MXOF) ; son maintien à 250 MXOF laisse subsister un risque de dépassements récurrents, alors que le solde moyen débiteur ressort à 173 MXOF et le pic observé à 478 MXOF.</w:t>
      </w:r>
    </w:p>
    <w:p>
      <w:pPr>
        <w:pStyle w:val="ListParagraph"/>
        <w:numPr>
          <w:ilvl w:val="0"/>
          <w:numId w:val="1"/>
        </w:numPr>
        <w:spacing w:after="80" w:line="250"/>
        <w:jc w:val="both"/>
      </w:pPr>
      <w:r>
        <w:rPr>
          <w:rFonts w:ascii="Calibri" w:cs="Calibri" w:eastAsia="Calibri" w:hAnsi="Calibri"/>
          <w:sz w:val="21"/>
          <w:szCs w:val="21"/>
        </w:rPr>
        <w:t xml:space="preserve">La notation retenue (6/6) intègre déjà les difficultés constatées dans l'utilisation des lignes ; RISQ/SGCI recommandait pour sa part une note de 7+/7+ pour ce motif.</w:t>
      </w:r>
    </w:p>
    <w:p>
      <w:pPr>
        <w:spacing w:after="20" w:line="250"/>
        <w:jc w:val="both"/>
      </w:pPr>
      <w:r>
        <w:rPr>
          <w:rFonts w:ascii="Calibri" w:cs="Calibri" w:eastAsia="Calibri" w:hAnsi="Calibri"/>
          <w:sz w:val="21"/>
          <w:szCs w:val="21"/>
        </w:rPr>
        <w:t xml:space="preserve"/>
      </w:r>
    </w:p>
    <w:p>
      <w:pPr>
        <w:spacing w:after="100" w:line="250"/>
        <w:jc w:val="both"/>
      </w:pPr>
      <w:r>
        <w:rPr>
          <w:rFonts w:ascii="Calibri" w:cs="Calibri" w:eastAsia="Calibri" w:hAnsi="Calibri"/>
          <w:b/>
          <w:bCs/>
          <w:sz w:val="21"/>
          <w:szCs w:val="21"/>
          <w:u w:val="single"/>
        </w:rPr>
        <w:t xml:space="preserve">Incohérences relevées dans le mémo commercial (à corriger avant transmission)</w:t>
      </w:r>
    </w:p>
    <w:p>
      <w:pPr>
        <w:pStyle w:val="ListParagraph"/>
        <w:numPr>
          <w:ilvl w:val="0"/>
          <w:numId w:val="1"/>
        </w:numPr>
        <w:spacing w:after="80" w:line="250"/>
        <w:jc w:val="both"/>
      </w:pPr>
      <w:r>
        <w:rPr>
          <w:rFonts w:ascii="Calibri" w:cs="Calibri" w:eastAsia="Calibri" w:hAnsi="Calibri"/>
          <w:sz w:val="21"/>
          <w:szCs w:val="21"/>
        </w:rPr>
        <w:t xml:space="preserve">Référence RCT mentionnée : ATA7354, alors que le RCT de la contrepartie est AQO9305 ;</w:t>
      </w:r>
    </w:p>
    <w:p>
      <w:pPr>
        <w:pStyle w:val="ListParagraph"/>
        <w:numPr>
          <w:ilvl w:val="0"/>
          <w:numId w:val="1"/>
        </w:numPr>
        <w:spacing w:after="80" w:line="250"/>
        <w:jc w:val="both"/>
      </w:pPr>
      <w:r>
        <w:rPr>
          <w:rFonts w:ascii="Calibri" w:cs="Calibri" w:eastAsia="Calibri" w:hAnsi="Calibri"/>
          <w:sz w:val="21"/>
          <w:szCs w:val="21"/>
        </w:rPr>
        <w:t xml:space="preserve">Part de flux annoncée à « près de 70 % des opérations », alors que la part de flux ressort à 47 % du CATTC provisoire 2025 (55,7 % selon le tableau du mémo) pour une part dans les engagements de 36 % ;</w:t>
      </w:r>
    </w:p>
    <w:p>
      <w:pPr>
        <w:pStyle w:val="ListParagraph"/>
        <w:numPr>
          <w:ilvl w:val="0"/>
          <w:numId w:val="1"/>
        </w:numPr>
        <w:spacing w:after="80" w:line="250"/>
        <w:jc w:val="both"/>
      </w:pPr>
      <w:r>
        <w:rPr>
          <w:rFonts w:ascii="Calibri" w:cs="Calibri" w:eastAsia="Calibri" w:hAnsi="Calibri"/>
          <w:sz w:val="21"/>
          <w:szCs w:val="21"/>
        </w:rPr>
        <w:t xml:space="preserve">Flux créditeurs 2025 indiqués à 18 990 MXOF contre 18 892 MXOF retenus dans la note de renouvellement.</w:t>
      </w:r>
    </w:p>
    <w:p>
      <w:pPr>
        <w:spacing w:after="160" w:line="250"/>
        <w:jc w:val="both"/>
      </w:pPr>
      <w:r>
        <w:rPr>
          <w:rFonts w:ascii="Calibri" w:cs="Calibri" w:eastAsia="Calibri" w:hAnsi="Calibri"/>
          <w:sz w:val="21"/>
          <w:szCs w:val="21"/>
        </w:rPr>
        <w:t xml:space="preserve"/>
      </w:r>
    </w:p>
    <w:p>
      <w:pPr>
        <w:pBdr>
          <w:bottom w:val="single" w:color="C00000" w:sz="6" w:space="2"/>
        </w:pBdr>
        <w:spacing w:after="120" w:before="240"/>
      </w:pPr>
      <w:r>
        <w:rPr>
          <w:rFonts w:ascii="Calibri" w:cs="Calibri" w:eastAsia="Calibri" w:hAnsi="Calibri"/>
          <w:b/>
          <w:bCs/>
          <w:caps w:val="false"/>
          <w:color w:val="C00000"/>
          <w:sz w:val="22"/>
          <w:szCs w:val="22"/>
        </w:rPr>
        <w:t xml:space="preserve">4. POSITION DE L'ANALYSTE RISQ / CRE</w:t>
      </w:r>
    </w:p>
    <w:p>
      <w:pPr>
        <w:spacing w:after="120" w:line="250"/>
        <w:jc w:val="both"/>
      </w:pPr>
      <w:r>
        <w:rPr>
          <w:rFonts w:ascii="Calibri" w:cs="Calibri" w:eastAsia="Calibri" w:hAnsi="Calibri"/>
          <w:sz w:val="21"/>
          <w:szCs w:val="21"/>
        </w:rPr>
        <w:t xml:space="preserve">La demande n'emporte ni augmentation d'exposition, ni allègement du schéma de garanties, et le fonctionnement du compte comme les flux confiés se sont améliorés depuis le début de l'exercice. Pour autant, elle neutralise en substance l'arbitrage de structure retenu par RISQ/SGCI moins de deux mois auparavant et rétablit une capacité de tirage revolving de 2 000 MXOF sur une relation dont le principal point de faiblesse demeure précisément le rolling de ses crédits de trésorerie.</w:t>
      </w:r>
    </w:p>
    <w:p>
      <w:pPr>
        <w:spacing w:after="140" w:line="250"/>
        <w:jc w:val="both"/>
      </w:pPr>
      <w:r>
        <w:rPr>
          <w:rFonts w:ascii="Calibri" w:cs="Calibri" w:eastAsia="Calibri" w:hAnsi="Calibri"/>
          <w:sz w:val="21"/>
          <w:szCs w:val="21"/>
        </w:rPr>
        <w:t xml:space="preserve">Dans ce contexte, nous émettons un avis favorable conditionné à la mise en place d'un encadrement strict de la nouvelle ligne, faute de quoi nous ne pourrions que maintenir la structure notifiée le 25 juin 2026 :</w:t>
      </w:r>
    </w:p>
    <w:p>
      <w:pPr>
        <w:spacing w:after="100" w:line="250"/>
        <w:jc w:val="both"/>
      </w:pPr>
      <w:r>
        <w:rPr>
          <w:rFonts w:ascii="Calibri" w:cs="Calibri" w:eastAsia="Calibri" w:hAnsi="Calibri"/>
          <w:b/>
          <w:bCs/>
          <w:sz w:val="21"/>
          <w:szCs w:val="21"/>
          <w:u w:val="single"/>
        </w:rPr>
        <w:t xml:space="preserve">Conditions préalables</w:t>
      </w:r>
    </w:p>
    <w:p>
      <w:pPr>
        <w:pStyle w:val="ListParagraph"/>
        <w:numPr>
          <w:ilvl w:val="0"/>
          <w:numId w:val="1"/>
        </w:numPr>
        <w:spacing w:after="80" w:line="250"/>
        <w:jc w:val="both"/>
      </w:pPr>
      <w:r>
        <w:rPr>
          <w:rFonts w:ascii="Calibri" w:cs="Calibri" w:eastAsia="Calibri" w:hAnsi="Calibri"/>
          <w:sz w:val="21"/>
          <w:szCs w:val="21"/>
        </w:rPr>
        <w:t xml:space="preserve">Communication et validation préalable d'un plan d'apurement de l'encours SPOT de 2 000 MXOF, ramenant celui-ci à 1 000 MXOF ;</w:t>
      </w:r>
    </w:p>
    <w:p>
      <w:pPr>
        <w:pStyle w:val="ListParagraph"/>
        <w:numPr>
          <w:ilvl w:val="0"/>
          <w:numId w:val="1"/>
        </w:numPr>
        <w:spacing w:after="80" w:line="250"/>
        <w:jc w:val="both"/>
      </w:pPr>
      <w:r>
        <w:rPr>
          <w:rFonts w:ascii="Calibri" w:cs="Calibri" w:eastAsia="Calibri" w:hAnsi="Calibri"/>
          <w:sz w:val="21"/>
          <w:szCs w:val="21"/>
        </w:rPr>
        <w:t xml:space="preserve">Régularisation préalable du dépassement constaté sur le découvert ;</w:t>
      </w:r>
    </w:p>
    <w:p>
      <w:pPr>
        <w:pStyle w:val="ListParagraph"/>
        <w:numPr>
          <w:ilvl w:val="0"/>
          <w:numId w:val="1"/>
        </w:numPr>
        <w:spacing w:after="80" w:line="250"/>
        <w:jc w:val="both"/>
      </w:pPr>
      <w:r>
        <w:rPr>
          <w:rFonts w:ascii="Calibri" w:cs="Calibri" w:eastAsia="Calibri" w:hAnsi="Calibri"/>
          <w:sz w:val="21"/>
          <w:szCs w:val="21"/>
        </w:rPr>
        <w:t xml:space="preserve">Levée des réserves bloquantes de la notification du 25 juin 2026, aucune magnétisation ne pouvant intervenir avant.</w:t>
      </w:r>
    </w:p>
    <w:p>
      <w:pPr>
        <w:spacing w:after="20" w:line="250"/>
        <w:jc w:val="both"/>
      </w:pPr>
      <w:r>
        <w:rPr>
          <w:rFonts w:ascii="Calibri" w:cs="Calibri" w:eastAsia="Calibri" w:hAnsi="Calibri"/>
          <w:sz w:val="21"/>
          <w:szCs w:val="21"/>
        </w:rPr>
        <w:t xml:space="preserve"/>
      </w:r>
    </w:p>
    <w:p>
      <w:pPr>
        <w:spacing w:after="100" w:line="250"/>
        <w:jc w:val="both"/>
      </w:pPr>
      <w:r>
        <w:rPr>
          <w:rFonts w:ascii="Calibri" w:cs="Calibri" w:eastAsia="Calibri" w:hAnsi="Calibri"/>
          <w:b/>
          <w:bCs/>
          <w:sz w:val="21"/>
          <w:szCs w:val="21"/>
          <w:u w:val="single"/>
        </w:rPr>
        <w:t xml:space="preserve">Conditions d'utilisation de la ligne CCT revolving</w:t>
      </w:r>
    </w:p>
    <w:p>
      <w:pPr>
        <w:pStyle w:val="ListParagraph"/>
        <w:numPr>
          <w:ilvl w:val="0"/>
          <w:numId w:val="1"/>
        </w:numPr>
        <w:spacing w:after="80" w:line="250"/>
        <w:jc w:val="both"/>
      </w:pPr>
      <w:r>
        <w:rPr>
          <w:rFonts w:ascii="Calibri" w:cs="Calibri" w:eastAsia="Calibri" w:hAnsi="Calibri"/>
          <w:sz w:val="21"/>
          <w:szCs w:val="21"/>
        </w:rPr>
        <w:t xml:space="preserve">Maturité ferme de 90 jours, non prorogeable ; DVA alignée sur celle des lignes en vigueur (22/06/2027) ;</w:t>
      </w:r>
    </w:p>
    <w:p>
      <w:pPr>
        <w:pStyle w:val="ListParagraph"/>
        <w:numPr>
          <w:ilvl w:val="0"/>
          <w:numId w:val="1"/>
        </w:numPr>
        <w:spacing w:after="80" w:line="250"/>
        <w:jc w:val="both"/>
      </w:pPr>
      <w:r>
        <w:rPr>
          <w:rFonts w:ascii="Calibri" w:cs="Calibri" w:eastAsia="Calibri" w:hAnsi="Calibri"/>
          <w:sz w:val="21"/>
          <w:szCs w:val="21"/>
        </w:rPr>
        <w:t xml:space="preserve">Plafond unitaire de tirage de 500 MXOF ;</w:t>
      </w:r>
    </w:p>
    <w:p>
      <w:pPr>
        <w:pStyle w:val="ListParagraph"/>
        <w:numPr>
          <w:ilvl w:val="0"/>
          <w:numId w:val="1"/>
        </w:numPr>
        <w:spacing w:after="80" w:line="250"/>
        <w:jc w:val="both"/>
      </w:pPr>
      <w:r>
        <w:rPr>
          <w:rFonts w:ascii="Calibri" w:cs="Calibri" w:eastAsia="Calibri" w:hAnsi="Calibri"/>
          <w:sz w:val="21"/>
          <w:szCs w:val="21"/>
        </w:rPr>
        <w:t xml:space="preserve">Remboursement intégral de chaque tirage par les flux commerciaux domiciliés préalablement à tout nouveau tirage ; interdiction expresse de refinancer un tirage par un tirage nouveau ;</w:t>
      </w:r>
    </w:p>
    <w:p>
      <w:pPr>
        <w:pStyle w:val="ListParagraph"/>
        <w:numPr>
          <w:ilvl w:val="0"/>
          <w:numId w:val="1"/>
        </w:numPr>
        <w:spacing w:after="80" w:line="250"/>
        <w:jc w:val="both"/>
      </w:pPr>
      <w:r>
        <w:rPr>
          <w:rFonts w:ascii="Calibri" w:cs="Calibri" w:eastAsia="Calibri" w:hAnsi="Calibri"/>
          <w:sz w:val="21"/>
          <w:szCs w:val="21"/>
        </w:rPr>
        <w:t xml:space="preserve">Encours cumulé SPOT + CCT revolving plafonné à 2 000 MXOF en permanence ;</w:t>
      </w:r>
    </w:p>
    <w:p>
      <w:pPr>
        <w:pStyle w:val="ListParagraph"/>
        <w:numPr>
          <w:ilvl w:val="0"/>
          <w:numId w:val="1"/>
        </w:numPr>
        <w:spacing w:after="80" w:line="250"/>
        <w:jc w:val="both"/>
      </w:pPr>
      <w:r>
        <w:rPr>
          <w:rFonts w:ascii="Calibri" w:cs="Calibri" w:eastAsia="Calibri" w:hAnsi="Calibri"/>
          <w:sz w:val="21"/>
          <w:szCs w:val="21"/>
        </w:rPr>
        <w:t xml:space="preserve">Suspension automatique des tirages en cas d'impayé sur l'une des lignes ou de dépassement du découvert non régularisé sous 15 jours ;</w:t>
      </w:r>
    </w:p>
    <w:p>
      <w:pPr>
        <w:pStyle w:val="ListParagraph"/>
        <w:numPr>
          <w:ilvl w:val="0"/>
          <w:numId w:val="1"/>
        </w:numPr>
        <w:spacing w:after="80" w:line="250"/>
        <w:jc w:val="both"/>
      </w:pPr>
      <w:r>
        <w:rPr>
          <w:rFonts w:ascii="Calibri" w:cs="Calibri" w:eastAsia="Calibri" w:hAnsi="Calibri"/>
          <w:sz w:val="21"/>
          <w:szCs w:val="21"/>
        </w:rPr>
        <w:t xml:space="preserve">Revue du fonctionnement de la ligne à 6 mois, conditionnant son maintien jusqu'à la DVA.</w:t>
      </w:r>
    </w:p>
    <w:p>
      <w:pPr>
        <w:spacing w:after="20" w:line="250"/>
        <w:jc w:val="both"/>
      </w:pPr>
      <w:r>
        <w:rPr>
          <w:rFonts w:ascii="Calibri" w:cs="Calibri" w:eastAsia="Calibri" w:hAnsi="Calibri"/>
          <w:sz w:val="21"/>
          <w:szCs w:val="21"/>
        </w:rPr>
        <w:t xml:space="preserve"/>
      </w:r>
    </w:p>
    <w:p>
      <w:pPr>
        <w:spacing w:after="100" w:line="250"/>
        <w:jc w:val="both"/>
      </w:pPr>
      <w:r>
        <w:rPr>
          <w:rFonts w:ascii="Calibri" w:cs="Calibri" w:eastAsia="Calibri" w:hAnsi="Calibri"/>
          <w:b/>
          <w:bCs/>
          <w:sz w:val="21"/>
          <w:szCs w:val="21"/>
          <w:u w:val="single"/>
        </w:rPr>
        <w:t xml:space="preserve">Maintien des réserves bloquantes et points de suivi de la notification du 25/06/2026</w:t>
      </w:r>
    </w:p>
    <w:p>
      <w:pPr>
        <w:pStyle w:val="ListParagraph"/>
        <w:numPr>
          <w:ilvl w:val="0"/>
          <w:numId w:val="1"/>
        </w:numPr>
        <w:spacing w:after="80" w:line="250"/>
        <w:jc w:val="both"/>
      </w:pPr>
      <w:r>
        <w:rPr>
          <w:rFonts w:ascii="Calibri" w:cs="Calibri" w:eastAsia="Calibri" w:hAnsi="Calibri"/>
          <w:sz w:val="21"/>
          <w:szCs w:val="21"/>
        </w:rPr>
        <w:t xml:space="preserve">Obtenir un ACS actualisé et une FRC récente ;</w:t>
      </w:r>
    </w:p>
    <w:p>
      <w:pPr>
        <w:pStyle w:val="ListParagraph"/>
        <w:numPr>
          <w:ilvl w:val="0"/>
          <w:numId w:val="1"/>
        </w:numPr>
        <w:spacing w:after="80" w:line="250"/>
        <w:jc w:val="both"/>
      </w:pPr>
      <w:r>
        <w:rPr>
          <w:rFonts w:ascii="Calibri" w:cs="Calibri" w:eastAsia="Calibri" w:hAnsi="Calibri"/>
          <w:sz w:val="21"/>
          <w:szCs w:val="21"/>
        </w:rPr>
        <w:t xml:space="preserve">Obtenir le rapport d'expertise du bien objet de la promesse notariée de caution hypothécaire ;</w:t>
      </w:r>
    </w:p>
    <w:p>
      <w:pPr>
        <w:pStyle w:val="ListParagraph"/>
        <w:numPr>
          <w:ilvl w:val="0"/>
          <w:numId w:val="1"/>
        </w:numPr>
        <w:spacing w:after="80" w:line="250"/>
        <w:jc w:val="both"/>
      </w:pPr>
      <w:r>
        <w:rPr>
          <w:rFonts w:ascii="Calibri" w:cs="Calibri" w:eastAsia="Calibri" w:hAnsi="Calibri"/>
          <w:sz w:val="21"/>
          <w:szCs w:val="21"/>
        </w:rPr>
        <w:t xml:space="preserve">S'assurer de la bonne prise de l'ensemble des garanties ;</w:t>
      </w:r>
    </w:p>
    <w:p>
      <w:pPr>
        <w:pStyle w:val="ListParagraph"/>
        <w:numPr>
          <w:ilvl w:val="0"/>
          <w:numId w:val="1"/>
        </w:numPr>
        <w:spacing w:after="80" w:line="250"/>
        <w:jc w:val="both"/>
      </w:pPr>
      <w:r>
        <w:rPr>
          <w:rFonts w:ascii="Calibri" w:cs="Calibri" w:eastAsia="Calibri" w:hAnsi="Calibri"/>
          <w:sz w:val="21"/>
          <w:szCs w:val="21"/>
        </w:rPr>
        <w:t xml:space="preserve">Suivre l'évolution de l'encours SPOT et CCT et proscrire les impayés ; éviter la concentration des lignes sur les mêmes clients ; anticiper la revue KYC échéant fin 2026.</w:t>
      </w:r>
    </w:p>
    <w:p>
      <w:pPr>
        <w:spacing w:after="120" w:line="250"/>
        <w:jc w:val="both"/>
      </w:pPr>
      <w:r>
        <w:rPr>
          <w:rFonts w:ascii="Calibri" w:cs="Calibri" w:eastAsia="Calibri" w:hAnsi="Calibri"/>
          <w:sz w:val="21"/>
          <w:szCs w:val="21"/>
        </w:rPr>
        <w:t xml:space="preserve"/>
      </w:r>
    </w:p>
    <w:p>
      <w:pPr>
        <w:spacing w:after="200" w:line="250"/>
        <w:jc w:val="both"/>
      </w:pPr>
      <w:r>
        <w:rPr>
          <w:rFonts w:ascii="Calibri" w:cs="Calibri" w:eastAsia="Calibri" w:hAnsi="Calibri"/>
          <w:sz w:val="21"/>
          <w:szCs w:val="21"/>
        </w:rPr>
        <w:t xml:space="preserve">La notation reste inchangée à 6/6, sous réserve du bon dénouement des tirages sur la nouvelle ligne, tout incident devant conduire à un réexamen.</w:t>
      </w:r>
    </w:p>
    <w:p>
      <w:pPr>
        <w:spacing w:after="240" w:line="250"/>
        <w:jc w:val="both"/>
      </w:pPr>
      <w:r>
        <w:rPr>
          <w:rFonts w:ascii="Calibri" w:cs="Calibri" w:eastAsia="Calibri" w:hAnsi="Calibri"/>
          <w:b/>
          <w:bCs/>
          <w:sz w:val="21"/>
          <w:szCs w:val="21"/>
        </w:rPr>
        <w:t xml:space="preserve">Dossier LAD : HLAD DRC/DGA/RISQ CRE</w:t>
      </w:r>
    </w:p>
    <w:p>
      <w:pPr>
        <w:spacing w:after="60" w:line="250"/>
        <w:jc w:val="both"/>
      </w:pPr>
      <w:r>
        <w:rPr>
          <w:rFonts w:ascii="Calibri" w:cs="Calibri" w:eastAsia="Calibri" w:hAnsi="Calibri"/>
          <w:sz w:val="21"/>
          <w:szCs w:val="21"/>
        </w:rPr>
        <w:t xml:space="preserve">Cdt,</w:t>
      </w:r>
    </w:p>
    <w:p>
      <w:pPr>
        <w:spacing w:after="0" w:line="250"/>
        <w:jc w:val="both"/>
      </w:pPr>
      <w:r>
        <w:rPr>
          <w:rFonts w:ascii="Calibri" w:cs="Calibri" w:eastAsia="Calibri" w:hAnsi="Calibri"/>
          <w:b/>
          <w:bCs/>
          <w:sz w:val="21"/>
          <w:szCs w:val="21"/>
        </w:rPr>
        <w:t xml:space="preserve">Marvin WOMBLEGNON</w:t>
      </w:r>
    </w:p>
    <w:p>
      <w:pPr>
        <w:spacing w:after="0" w:line="250"/>
        <w:jc w:val="both"/>
      </w:pPr>
      <w:r>
        <w:rPr>
          <w:rFonts w:ascii="Calibri" w:cs="Calibri" w:eastAsia="Calibri" w:hAnsi="Calibri"/>
          <w:sz w:val="21"/>
          <w:szCs w:val="21"/>
        </w:rPr>
        <w:t xml:space="preserve">Direction des Risques de Crédit – Cellule Octroi Corporate</w:t>
      </w:r>
    </w:p>
    <w:p>
      <w:pPr>
        <w:spacing w:after="0" w:line="250"/>
        <w:jc w:val="both"/>
      </w:pPr>
      <w:r>
        <w:rPr>
          <w:rFonts w:ascii="Calibri" w:cs="Calibri" w:eastAsia="Calibri" w:hAnsi="Calibri"/>
          <w:sz w:val="21"/>
          <w:szCs w:val="21"/>
        </w:rPr>
        <w:t xml:space="preserve">Analyste Risques de Crédit Corporate</w:t>
      </w:r>
    </w:p>
    <w:sectPr>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WAIVER SOGELUX - Notification du 25/06/2026</dc:title>
  <dc:creator>WOMBLEGNON Emmanuel Marvin Elyot</dc:creator>
  <cp:lastModifiedBy>Un-named</cp:lastModifiedBy>
  <cp:revision>1</cp:revision>
  <dcterms:created xsi:type="dcterms:W3CDTF">2026-08-19T07:18:33.769Z</dcterms:created>
  <dcterms:modified xsi:type="dcterms:W3CDTF">2026-08-19T07:18:33.769Z</dcterms:modified>
</cp:coreProperties>
</file>

<file path=docProps/custom.xml><?xml version="1.0" encoding="utf-8"?>
<Properties xmlns="http://schemas.openxmlformats.org/officeDocument/2006/custom-properties" xmlns:vt="http://schemas.openxmlformats.org/officeDocument/2006/docPropsVTypes"/>
</file>