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i w:val="false"/>
          <w:iCs w:val="false"/>
          <w:color w:val="C00000"/>
          <w:sz w:val="20"/>
          <w:szCs w:val="20"/>
        </w:rPr>
        <w:t xml:space="preserve">SOCIÉTÉ GÉNÉRALE CÔTE D'IVOIRE</w:t>
      </w:r>
    </w:p>
    <w:p>
      <w:pPr>
        <w:pBdr>
          <w:bottom w:val="single" w:color="C00000" w:sz="12" w:space="6"/>
        </w:pBdr>
        <w:spacing w:after="60"/>
      </w:pPr>
      <w:r>
        <w:rPr>
          <w:rFonts w:ascii="Calibri" w:cs="Calibri" w:eastAsia="Calibri" w:hAnsi="Calibri"/>
          <w:b w:val="false"/>
          <w:bCs w:val="false"/>
          <w:i w:val="false"/>
          <w:iCs w:val="false"/>
          <w:color w:val="666666"/>
          <w:sz w:val="18"/>
          <w:szCs w:val="18"/>
        </w:rPr>
        <w:t xml:space="preserve">Direction des Risques de Crédit — RISQ/CRE</w:t>
      </w:r>
    </w:p>
    <w:p>
      <w:pPr>
        <w:spacing w:after="100"/>
      </w:pPr>
    </w:p>
    <w:p>
      <w:pPr>
        <w:spacing w:after="120" w:before="700"/>
      </w:pPr>
      <w:r>
        <w:rPr>
          <w:rFonts w:ascii="Calibri" w:cs="Calibri" w:eastAsia="Calibri" w:hAnsi="Calibri"/>
          <w:b/>
          <w:bCs/>
          <w:i w:val="false"/>
          <w:iCs w:val="false"/>
          <w:color w:val="1F3864"/>
          <w:sz w:val="44"/>
          <w:szCs w:val="44"/>
        </w:rPr>
        <w:t xml:space="preserve">RECOMMANDATION / RISQ</w:t>
      </w:r>
    </w:p>
    <w:p>
      <w:pPr>
        <w:spacing w:after="100"/>
      </w:pPr>
      <w:r>
        <w:rPr>
          <w:rFonts w:ascii="Calibri" w:cs="Calibri" w:eastAsia="Calibri" w:hAnsi="Calibri"/>
          <w:b/>
          <w:bCs/>
          <w:i w:val="false"/>
          <w:iCs w:val="false"/>
          <w:sz w:val="34"/>
          <w:szCs w:val="34"/>
        </w:rPr>
        <w:t xml:space="preserve">TRANSCAO-CÔTE D'IVOIRE</w:t>
      </w:r>
    </w:p>
    <w:p>
      <w:pPr>
        <w:spacing w:after="500"/>
      </w:pPr>
      <w:r>
        <w:rPr>
          <w:rFonts w:ascii="Calibri" w:cs="Calibri" w:eastAsia="Calibri" w:hAnsi="Calibri"/>
          <w:b w:val="false"/>
          <w:bCs w:val="false"/>
          <w:i w:val="false"/>
          <w:iCs w:val="false"/>
          <w:color w:val="444444"/>
          <w:sz w:val="24"/>
          <w:szCs w:val="24"/>
        </w:rPr>
        <w:t xml:space="preserve">Renouvellement à la hausse des lignes court terme — 9 000 → 15 000 MXOF</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708"/>
        <w:gridCol w:w="6318"/>
      </w:tblGrid>
      <w:tr>
        <w:tc>
          <w:tcPr>
            <w:tcW w:type="dxa" w:w="2708"/>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Emprunteur</w:t>
            </w:r>
          </w:p>
        </w:tc>
        <w:tc>
          <w:tcPr>
            <w:tcW w:type="dxa" w:w="6318"/>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TRANSCAO-CÔTE D'IVOIRE — RCCM CI-ABJ-03-2019-B14-03087</w:t>
            </w:r>
          </w:p>
        </w:tc>
      </w:tr>
      <w:tr>
        <w:tc>
          <w:tcPr>
            <w:tcW w:type="dxa" w:w="2708"/>
            <w:shd w:fill="FAFAFA" w:color="auto" w:val="clear"/>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Groupe</w:t>
            </w:r>
          </w:p>
        </w:tc>
        <w:tc>
          <w:tcPr>
            <w:tcW w:type="dxa" w:w="6318"/>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CONSEIL DU CAFÉ-CACAO (CCC)</w:t>
            </w:r>
          </w:p>
        </w:tc>
      </w:tr>
      <w:tr>
        <w:tc>
          <w:tcPr>
            <w:tcW w:type="dxa" w:w="2708"/>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Booking</w:t>
            </w:r>
          </w:p>
        </w:tc>
        <w:tc>
          <w:tcPr>
            <w:tcW w:type="dxa" w:w="6318"/>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SGCI — Rating pays : 5</w:t>
            </w:r>
          </w:p>
        </w:tc>
      </w:tr>
      <w:tr>
        <w:tc>
          <w:tcPr>
            <w:tcW w:type="dxa" w:w="2708"/>
            <w:shd w:fill="FAFAFA" w:color="auto" w:val="clear"/>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Analyste</w:t>
            </w:r>
          </w:p>
        </w:tc>
        <w:tc>
          <w:tcPr>
            <w:tcW w:type="dxa" w:w="6318"/>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WOMBLEGNON Emmanuel Marvin Elyot</w:t>
            </w:r>
          </w:p>
        </w:tc>
      </w:tr>
      <w:tr>
        <w:tc>
          <w:tcPr>
            <w:tcW w:type="dxa" w:w="2708"/>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Autorisations sollicitées</w:t>
            </w:r>
          </w:p>
        </w:tc>
        <w:tc>
          <w:tcPr>
            <w:tcW w:type="dxa" w:w="6318"/>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15 000 MXOF (≈ 22,9 MEUR)</w:t>
            </w:r>
          </w:p>
        </w:tc>
      </w:tr>
      <w:tr>
        <w:tc>
          <w:tcPr>
            <w:tcW w:type="dxa" w:w="2708"/>
            <w:shd w:fill="F2F2F2" w:color="auto" w:val="clear"/>
            <w:tcMar>
              <w:top w:type="dxa" w:w="60"/>
              <w:left w:type="dxa" w:w="90"/>
              <w:bottom w:type="dxa" w:w="60"/>
              <w:right w:type="dxa" w:w="90"/>
            </w:tcMar>
          </w:tcPr>
          <w:p>
            <w:pPr>
              <w:spacing w:after="0" w:line="240"/>
            </w:pPr>
            <w:r>
              <w:rPr>
                <w:rFonts w:ascii="Calibri" w:cs="Calibri" w:eastAsia="Calibri" w:hAnsi="Calibri"/>
                <w:b/>
                <w:bCs/>
                <w:i w:val="false"/>
                <w:iCs w:val="false"/>
                <w:sz w:val="18"/>
                <w:szCs w:val="18"/>
              </w:rPr>
              <w:t xml:space="preserve">Recommandation RISQ</w:t>
            </w:r>
          </w:p>
        </w:tc>
        <w:tc>
          <w:tcPr>
            <w:tcW w:type="dxa" w:w="6318"/>
            <w:shd w:fill="F2F2F2"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8"/>
                <w:szCs w:val="18"/>
              </w:rPr>
              <w:t xml:space="preserve">13 000 MXOF — Favorable partiel sous réserves bloquantes</w:t>
            </w:r>
          </w:p>
        </w:tc>
      </w:tr>
      <w:tr>
        <w:tc>
          <w:tcPr>
            <w:tcW w:type="dxa" w:w="2708"/>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Base comptable</w:t>
            </w:r>
          </w:p>
        </w:tc>
        <w:tc>
          <w:tcPr>
            <w:tcW w:type="dxa" w:w="6318"/>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Exercice 2025 audité, certifié sans réserve (UNICONSEIL)</w:t>
            </w:r>
          </w:p>
        </w:tc>
      </w:tr>
      <w:tr>
        <w:tc>
          <w:tcPr>
            <w:tcW w:type="dxa" w:w="2708"/>
            <w:shd w:fill="FAFAFA" w:color="auto" w:val="clear"/>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Date</w:t>
            </w:r>
          </w:p>
        </w:tc>
        <w:tc>
          <w:tcPr>
            <w:tcW w:type="dxa" w:w="6318"/>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Septembre 2026</w:t>
            </w:r>
          </w:p>
        </w:tc>
      </w:tr>
    </w:tbl>
    <w:p>
      <w:pPr>
        <w:spacing w:before="500"/>
      </w:pPr>
      <w:r>
        <w:rPr>
          <w:rFonts w:ascii="Calibri" w:cs="Calibri" w:eastAsia="Calibri" w:hAnsi="Calibri"/>
          <w:b w:val="false"/>
          <w:bCs w:val="false"/>
          <w:i w:val="false"/>
          <w:iCs w:val="false"/>
          <w:color w:val="888888"/>
          <w:sz w:val="16"/>
          <w:szCs w:val="16"/>
        </w:rPr>
        <w:t xml:space="preserve">C1 — Document interne</w:t>
      </w:r>
    </w:p>
    <w:p>
      <w:r>
        <w:br w:type="page"/>
      </w:r>
    </w:p>
    <w:p>
      <w:pPr>
        <w:pStyle w:val="Heading1"/>
        <w:spacing w:after="160" w:before="320"/>
      </w:pPr>
      <w:r>
        <w:rPr>
          <w:rFonts w:ascii="Calibri" w:cs="Calibri" w:eastAsia="Calibri" w:hAnsi="Calibri"/>
          <w:b/>
          <w:bCs/>
          <w:color w:val="1F3864"/>
          <w:sz w:val="28"/>
          <w:szCs w:val="28"/>
        </w:rPr>
        <w:t xml:space="preserve">Sommaire</w:t>
      </w:r>
    </w:p>
    <w:p>
      <w:pPr>
        <w:spacing w:after="90"/>
        <w:ind w:left="200"/>
      </w:pPr>
      <w:r>
        <w:rPr>
          <w:rFonts w:ascii="Calibri" w:cs="Calibri" w:eastAsia="Calibri" w:hAnsi="Calibri"/>
          <w:b w:val="false"/>
          <w:bCs w:val="false"/>
          <w:i w:val="false"/>
          <w:iCs w:val="false"/>
          <w:sz w:val="21"/>
          <w:szCs w:val="21"/>
        </w:rPr>
        <w:t xml:space="preserve">1. Identification et exposition</w:t>
      </w:r>
    </w:p>
    <w:p>
      <w:pPr>
        <w:spacing w:after="90"/>
        <w:ind w:left="200"/>
      </w:pPr>
      <w:r>
        <w:rPr>
          <w:rFonts w:ascii="Calibri" w:cs="Calibri" w:eastAsia="Calibri" w:hAnsi="Calibri"/>
          <w:b w:val="false"/>
          <w:bCs w:val="false"/>
          <w:i w:val="false"/>
          <w:iCs w:val="false"/>
          <w:sz w:val="21"/>
          <w:szCs w:val="21"/>
        </w:rPr>
        <w:t xml:space="preserve">2. Présentation du client</w:t>
      </w:r>
    </w:p>
    <w:p>
      <w:pPr>
        <w:spacing w:after="90"/>
        <w:ind w:left="200"/>
      </w:pPr>
      <w:r>
        <w:rPr>
          <w:rFonts w:ascii="Calibri" w:cs="Calibri" w:eastAsia="Calibri" w:hAnsi="Calibri"/>
          <w:b w:val="false"/>
          <w:bCs w:val="false"/>
          <w:i w:val="false"/>
          <w:iCs w:val="false"/>
          <w:sz w:val="21"/>
          <w:szCs w:val="21"/>
        </w:rPr>
        <w:t xml:space="preserve">3. Le cadre : les spécificités de la campagne cacao ivoirienne</w:t>
      </w:r>
    </w:p>
    <w:p>
      <w:pPr>
        <w:spacing w:after="90"/>
        <w:ind w:left="200"/>
      </w:pPr>
      <w:r>
        <w:rPr>
          <w:rFonts w:ascii="Calibri" w:cs="Calibri" w:eastAsia="Calibri" w:hAnsi="Calibri"/>
          <w:b w:val="false"/>
          <w:bCs w:val="false"/>
          <w:i w:val="false"/>
          <w:iCs w:val="false"/>
          <w:sz w:val="21"/>
          <w:szCs w:val="21"/>
        </w:rPr>
        <w:t xml:space="preserve">4. Analyse de la situation financière</w:t>
      </w:r>
    </w:p>
    <w:p>
      <w:pPr>
        <w:spacing w:after="90"/>
        <w:ind w:left="200"/>
      </w:pPr>
      <w:r>
        <w:rPr>
          <w:rFonts w:ascii="Calibri" w:cs="Calibri" w:eastAsia="Calibri" w:hAnsi="Calibri"/>
          <w:b w:val="false"/>
          <w:bCs w:val="false"/>
          <w:i w:val="false"/>
          <w:iCs w:val="false"/>
          <w:sz w:val="21"/>
          <w:szCs w:val="21"/>
        </w:rPr>
        <w:t xml:space="preserve">5. Tableau financier et ratios</w:t>
      </w:r>
    </w:p>
    <w:p>
      <w:pPr>
        <w:spacing w:after="90"/>
        <w:ind w:left="200"/>
      </w:pPr>
      <w:r>
        <w:rPr>
          <w:rFonts w:ascii="Calibri" w:cs="Calibri" w:eastAsia="Calibri" w:hAnsi="Calibri"/>
          <w:b w:val="false"/>
          <w:bCs w:val="false"/>
          <w:i w:val="false"/>
          <w:iCs w:val="false"/>
          <w:sz w:val="21"/>
          <w:szCs w:val="21"/>
        </w:rPr>
        <w:t xml:space="preserve">6. Campagne 26/27 et plan de trésorerie</w:t>
      </w:r>
    </w:p>
    <w:p>
      <w:pPr>
        <w:spacing w:after="90"/>
        <w:ind w:left="200"/>
      </w:pPr>
      <w:r>
        <w:rPr>
          <w:rFonts w:ascii="Calibri" w:cs="Calibri" w:eastAsia="Calibri" w:hAnsi="Calibri"/>
          <w:b w:val="false"/>
          <w:bCs w:val="false"/>
          <w:i w:val="false"/>
          <w:iCs w:val="false"/>
          <w:sz w:val="21"/>
          <w:szCs w:val="21"/>
        </w:rPr>
        <w:t xml:space="preserve">7. Architecture de risque</w:t>
      </w:r>
    </w:p>
    <w:p>
      <w:pPr>
        <w:spacing w:after="90"/>
        <w:ind w:left="200"/>
      </w:pPr>
      <w:r>
        <w:rPr>
          <w:rFonts w:ascii="Calibri" w:cs="Calibri" w:eastAsia="Calibri" w:hAnsi="Calibri"/>
          <w:b w:val="false"/>
          <w:bCs w:val="false"/>
          <w:i w:val="false"/>
          <w:iCs w:val="false"/>
          <w:sz w:val="21"/>
          <w:szCs w:val="21"/>
        </w:rPr>
        <w:t xml:space="preserve">8. Benchmark TRANSCAO-CI / GCB Cocoa CI</w:t>
      </w:r>
    </w:p>
    <w:p>
      <w:pPr>
        <w:spacing w:after="90"/>
        <w:ind w:left="200"/>
      </w:pPr>
      <w:r>
        <w:rPr>
          <w:rFonts w:ascii="Calibri" w:cs="Calibri" w:eastAsia="Calibri" w:hAnsi="Calibri"/>
          <w:b w:val="false"/>
          <w:bCs w:val="false"/>
          <w:i w:val="false"/>
          <w:iCs w:val="false"/>
          <w:sz w:val="21"/>
          <w:szCs w:val="21"/>
        </w:rPr>
        <w:t xml:space="preserve">9. Focus sur les flux</w:t>
      </w:r>
    </w:p>
    <w:p>
      <w:pPr>
        <w:spacing w:after="90"/>
        <w:ind w:left="200"/>
      </w:pPr>
      <w:r>
        <w:rPr>
          <w:rFonts w:ascii="Calibri" w:cs="Calibri" w:eastAsia="Calibri" w:hAnsi="Calibri"/>
          <w:b w:val="false"/>
          <w:bCs w:val="false"/>
          <w:i w:val="false"/>
          <w:iCs w:val="false"/>
          <w:sz w:val="21"/>
          <w:szCs w:val="21"/>
        </w:rPr>
        <w:t xml:space="preserve">10. Analyse SWOT</w:t>
      </w:r>
    </w:p>
    <w:p>
      <w:pPr>
        <w:spacing w:after="90"/>
        <w:ind w:left="200"/>
      </w:pPr>
      <w:r>
        <w:rPr>
          <w:rFonts w:ascii="Calibri" w:cs="Calibri" w:eastAsia="Calibri" w:hAnsi="Calibri"/>
          <w:b w:val="false"/>
          <w:bCs w:val="false"/>
          <w:i w:val="false"/>
          <w:iCs w:val="false"/>
          <w:sz w:val="21"/>
          <w:szCs w:val="21"/>
        </w:rPr>
        <w:t xml:space="preserve">11. Avis, réserves et recommandation</w:t>
      </w:r>
    </w:p>
    <w:p>
      <w:pPr>
        <w:spacing w:after="90"/>
        <w:ind w:left="200"/>
      </w:pPr>
      <w:r>
        <w:rPr>
          <w:rFonts w:ascii="Calibri" w:cs="Calibri" w:eastAsia="Calibri" w:hAnsi="Calibri"/>
          <w:b w:val="false"/>
          <w:bCs w:val="false"/>
          <w:i w:val="false"/>
          <w:iCs w:val="false"/>
          <w:sz w:val="21"/>
          <w:szCs w:val="21"/>
        </w:rPr>
        <w:t xml:space="preserve">12. Questions à poser au chargé d'affaires</w:t>
      </w:r>
    </w:p>
    <w:p>
      <w:r>
        <w:br w:type="page"/>
      </w:r>
    </w:p>
    <w:p>
      <w:pPr>
        <w:pStyle w:val="Heading1"/>
        <w:spacing w:after="160" w:before="320"/>
      </w:pPr>
      <w:r>
        <w:rPr>
          <w:rFonts w:ascii="Calibri" w:cs="Calibri" w:eastAsia="Calibri" w:hAnsi="Calibri"/>
          <w:b/>
          <w:bCs/>
          <w:color w:val="1F3864"/>
          <w:sz w:val="28"/>
          <w:szCs w:val="28"/>
        </w:rPr>
        <w:t xml:space="preserve">1. Identification et exposition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888"/>
        <w:gridCol w:w="6138"/>
      </w:tblGrid>
      <w:tr>
        <w:tc>
          <w:tcPr>
            <w:tcW w:type="dxa" w:w="2888"/>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Groupe</w:t>
            </w:r>
          </w:p>
        </w:tc>
        <w:tc>
          <w:tcPr>
            <w:tcW w:type="dxa" w:w="6138"/>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CONSEIL DU CAFÉ-CACAO</w:t>
            </w:r>
          </w:p>
        </w:tc>
      </w:tr>
      <w:tr>
        <w:tc>
          <w:tcPr>
            <w:tcW w:type="dxa" w:w="2888"/>
            <w:shd w:fill="FAFAFA" w:color="auto" w:val="clear"/>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Emprunteur</w:t>
            </w:r>
          </w:p>
        </w:tc>
        <w:tc>
          <w:tcPr>
            <w:tcW w:type="dxa" w:w="6138"/>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TRANSCAO-CÔTE D'IVOIRE (RCCM CI-ABJ-03-2019-B14-03087)</w:t>
            </w:r>
          </w:p>
        </w:tc>
      </w:tr>
      <w:tr>
        <w:tc>
          <w:tcPr>
            <w:tcW w:type="dxa" w:w="2888"/>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Notation contrepartie</w:t>
            </w:r>
          </w:p>
        </w:tc>
        <w:tc>
          <w:tcPr>
            <w:tcW w:type="dxa" w:w="6138"/>
            <w:tcMar>
              <w:top w:type="dxa" w:w="60"/>
              <w:left w:type="dxa" w:w="90"/>
              <w:bottom w:type="dxa" w:w="60"/>
              <w:right w:type="dxa" w:w="90"/>
            </w:tcMar>
          </w:tcPr>
          <w:p>
            <w:pPr>
              <w:spacing w:after="0" w:line="240"/>
              <w:jc w:val="center"/>
            </w:pPr>
            <w:r>
              <w:rPr>
                <w:rFonts w:ascii="Calibri" w:cs="Calibri" w:eastAsia="Calibri" w:hAnsi="Calibri"/>
                <w:b/>
                <w:bCs/>
                <w:i w:val="false"/>
                <w:iCs w:val="false"/>
                <w:color w:val="C00000"/>
                <w:sz w:val="18"/>
                <w:szCs w:val="18"/>
              </w:rPr>
              <w:t xml:space="preserve">Échue au 09/03/2026 — mise à jour à produire</w:t>
            </w:r>
          </w:p>
        </w:tc>
      </w:tr>
      <w:tr>
        <w:tc>
          <w:tcPr>
            <w:tcW w:type="dxa" w:w="2888"/>
            <w:shd w:fill="FAFAFA" w:color="auto" w:val="clear"/>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Notation groupe CCC</w:t>
            </w:r>
          </w:p>
        </w:tc>
        <w:tc>
          <w:tcPr>
            <w:tcW w:type="dxa" w:w="6138"/>
            <w:shd w:fill="FAFAFA"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color w:val="C00000"/>
                <w:sz w:val="18"/>
                <w:szCs w:val="18"/>
              </w:rPr>
              <w:t xml:space="preserve">Échue au 21/07/2026 — prorogation sollicitée, EF non disponibles</w:t>
            </w:r>
          </w:p>
        </w:tc>
      </w:tr>
      <w:tr>
        <w:tc>
          <w:tcPr>
            <w:tcW w:type="dxa" w:w="2888"/>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Booking</w:t>
            </w:r>
          </w:p>
        </w:tc>
        <w:tc>
          <w:tcPr>
            <w:tcW w:type="dxa" w:w="6138"/>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SGCI — Rating pays : 5</w:t>
            </w:r>
          </w:p>
        </w:tc>
      </w:tr>
      <w:tr>
        <w:tc>
          <w:tcPr>
            <w:tcW w:type="dxa" w:w="2888"/>
            <w:shd w:fill="FAFAFA" w:color="auto" w:val="clear"/>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KYC</w:t>
            </w:r>
          </w:p>
        </w:tc>
        <w:tc>
          <w:tcPr>
            <w:tcW w:type="dxa" w:w="6138"/>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Validité 09/07/2028 — LAB : RISQUE MOYEN-ÉLEVÉ</w:t>
            </w:r>
          </w:p>
        </w:tc>
      </w:tr>
      <w:tr>
        <w:tc>
          <w:tcPr>
            <w:tcW w:type="dxa" w:w="2888"/>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Exposition post-demande</w:t>
            </w:r>
          </w:p>
        </w:tc>
        <w:tc>
          <w:tcPr>
            <w:tcW w:type="dxa" w:w="6138"/>
            <w:tcMar>
              <w:top w:type="dxa" w:w="60"/>
              <w:left w:type="dxa" w:w="90"/>
              <w:bottom w:type="dxa" w:w="60"/>
              <w:right w:type="dxa" w:w="90"/>
            </w:tcMar>
          </w:tcPr>
          <w:p>
            <w:pPr>
              <w:spacing w:after="0" w:line="240"/>
              <w:jc w:val="center"/>
            </w:pPr>
            <w:r>
              <w:rPr>
                <w:rFonts w:ascii="Calibri" w:cs="Calibri" w:eastAsia="Calibri" w:hAnsi="Calibri"/>
                <w:b/>
                <w:bCs/>
                <w:i w:val="false"/>
                <w:iCs w:val="false"/>
                <w:sz w:val="18"/>
                <w:szCs w:val="18"/>
              </w:rPr>
              <w:t xml:space="preserve">15 000 MXOF ≈ 22,9 MEUR — durée &lt; 1 an</w:t>
            </w:r>
          </w:p>
        </w:tc>
      </w:tr>
      <w:tr>
        <w:tc>
          <w:tcPr>
            <w:tcW w:type="dxa" w:w="2888"/>
            <w:shd w:fill="FAFAFA" w:color="auto" w:val="clear"/>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Part dans les engagements du pool</w:t>
            </w:r>
          </w:p>
        </w:tc>
        <w:tc>
          <w:tcPr>
            <w:tcW w:type="dxa" w:w="6138"/>
            <w:shd w:fill="FAFAFA"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color w:val="C00000"/>
                <w:sz w:val="18"/>
                <w:szCs w:val="18"/>
              </w:rPr>
              <w:t xml:space="preserve">35 % (contre 24 % avant demande)</w:t>
            </w:r>
          </w:p>
        </w:tc>
      </w:tr>
      <w:tr>
        <w:tc>
          <w:tcPr>
            <w:tcW w:type="dxa" w:w="2888"/>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Part dans les mouvements</w:t>
            </w:r>
          </w:p>
        </w:tc>
        <w:tc>
          <w:tcPr>
            <w:tcW w:type="dxa" w:w="6138"/>
            <w:tcMar>
              <w:top w:type="dxa" w:w="60"/>
              <w:left w:type="dxa" w:w="90"/>
              <w:bottom w:type="dxa" w:w="60"/>
              <w:right w:type="dxa" w:w="90"/>
            </w:tcMar>
          </w:tcPr>
          <w:p>
            <w:pPr>
              <w:spacing w:after="0" w:line="240"/>
              <w:jc w:val="center"/>
            </w:pPr>
            <w:r>
              <w:rPr>
                <w:rFonts w:ascii="Calibri" w:cs="Calibri" w:eastAsia="Calibri" w:hAnsi="Calibri"/>
                <w:b/>
                <w:bCs/>
                <w:i w:val="false"/>
                <w:iCs w:val="false"/>
                <w:color w:val="C00000"/>
                <w:sz w:val="18"/>
                <w:szCs w:val="18"/>
              </w:rPr>
              <w:t xml:space="preserve">~ 0 %</w:t>
            </w:r>
          </w:p>
        </w:tc>
      </w:tr>
      <w:tr>
        <w:tc>
          <w:tcPr>
            <w:tcW w:type="dxa" w:w="2888"/>
            <w:shd w:fill="FAFAFA" w:color="auto" w:val="clear"/>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Statut</w:t>
            </w:r>
          </w:p>
        </w:tc>
        <w:tc>
          <w:tcPr>
            <w:tcW w:type="dxa" w:w="6138"/>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S1 — critère UTP « détérioration brutale » coché OUI</w:t>
            </w:r>
          </w:p>
        </w:tc>
      </w:tr>
      <w:tr>
        <w:tc>
          <w:tcPr>
            <w:tcW w:type="dxa" w:w="2888"/>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CORISQ applicable</w:t>
            </w:r>
          </w:p>
        </w:tc>
        <w:tc>
          <w:tcPr>
            <w:tcW w:type="dxa" w:w="6138"/>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Financement de matières premières (financement spécialisé bâlois)</w:t>
            </w:r>
          </w:p>
        </w:tc>
      </w:tr>
      <w:tr>
        <w:tc>
          <w:tcPr>
            <w:tcW w:type="dxa" w:w="2888"/>
            <w:shd w:fill="FAFAFA" w:color="auto" w:val="clear"/>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Évaluation RSE</w:t>
            </w:r>
          </w:p>
        </w:tc>
        <w:tc>
          <w:tcPr>
            <w:tcW w:type="dxa" w:w="6138"/>
            <w:shd w:fill="FAFAFA"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color w:val="C00000"/>
                <w:sz w:val="18"/>
                <w:szCs w:val="18"/>
              </w:rPr>
              <w:t xml:space="preserve">Politique SL Agriculture — tableaux vision CLIENT et TRANSACTION non renseignés</w:t>
            </w:r>
          </w:p>
        </w:tc>
      </w:tr>
    </w:tbl>
    <w:p>
      <w:pPr>
        <w:pStyle w:val="Heading1"/>
        <w:spacing w:after="160" w:before="320"/>
      </w:pPr>
      <w:r>
        <w:rPr>
          <w:rFonts w:ascii="Calibri" w:cs="Calibri" w:eastAsia="Calibri" w:hAnsi="Calibri"/>
          <w:b/>
          <w:bCs/>
          <w:color w:val="1F3864"/>
          <w:sz w:val="28"/>
          <w:szCs w:val="28"/>
        </w:rPr>
        <w:t xml:space="preserve">2. Présentation du client</w:t>
      </w:r>
    </w:p>
    <w:p>
      <w:pPr>
        <w:spacing w:after="120" w:before="0" w:line="276"/>
      </w:pPr>
      <w:r>
        <w:rPr>
          <w:rFonts w:ascii="Calibri" w:cs="Calibri" w:eastAsia="Calibri" w:hAnsi="Calibri"/>
          <w:b w:val="false"/>
          <w:bCs w:val="false"/>
          <w:i w:val="false"/>
          <w:iCs w:val="false"/>
          <w:sz w:val="20"/>
          <w:szCs w:val="20"/>
        </w:rPr>
        <w:t xml:space="preserve">Société anonyme avec conseil d'administration, créée en février 2019, capital de 20 000 MXOF. Activité de transformation de fèves de cacao en produits semi-finis — masse, beurre, tourteau et poudre de cacao — destinés à l'export.</w:t>
      </w:r>
    </w:p>
    <w:p>
      <w:pPr>
        <w:spacing w:after="120" w:before="0" w:line="276"/>
      </w:pPr>
      <w:r>
        <w:rPr>
          <w:rFonts w:ascii="Calibri" w:cs="Calibri" w:eastAsia="Calibri" w:hAnsi="Calibri"/>
          <w:b w:val="false"/>
          <w:bCs w:val="false"/>
          <w:i w:val="false"/>
          <w:iCs w:val="false"/>
          <w:sz w:val="20"/>
          <w:szCs w:val="20"/>
        </w:rPr>
        <w:t xml:space="preserve">Deux unités de production : Séwéké (San Pedro) et PK 24 (Anyama, zone industrielle d'Akoupé-Zeudji, 21 hectares), cette dernière apportée en capital en janvier 2025 et mise en service sur l'exercice. Siège social transféré à Anyama-PK24 le 02/06/2025.</w:t>
      </w:r>
    </w:p>
    <w:p>
      <w:pPr>
        <w:spacing w:after="120" w:before="0" w:line="276"/>
      </w:pPr>
      <w:r>
        <w:rPr>
          <w:rFonts w:ascii="Calibri" w:cs="Calibri" w:eastAsia="Calibri" w:hAnsi="Calibri"/>
          <w:b w:val="false"/>
          <w:bCs w:val="false"/>
          <w:i w:val="false"/>
          <w:iCs w:val="false"/>
          <w:sz w:val="20"/>
          <w:szCs w:val="20"/>
        </w:rPr>
        <w:t xml:space="preserve">Direction générale confiée à M. KONATÉ Lamine par le conseil d'administration du 29/04/2025, en remplacement de M. COULIBALY Konan Théodore, avec M. YAU Tee Min (GCBCS) comme directeur général adjoint en charge de la production et de la maintenance.</w:t>
      </w:r>
    </w:p>
    <w:p>
      <w:pPr>
        <w:spacing w:after="120" w:before="0" w:line="276"/>
      </w:pPr>
      <w:r>
        <w:rPr>
          <w:rFonts w:ascii="Calibri" w:cs="Calibri" w:eastAsia="Calibri" w:hAnsi="Calibri"/>
          <w:b w:val="false"/>
          <w:bCs w:val="false"/>
          <w:i w:val="false"/>
          <w:iCs w:val="false"/>
          <w:sz w:val="20"/>
          <w:szCs w:val="20"/>
        </w:rPr>
        <w:t xml:space="preserve">L'effectif est porté de 107 à 226 salariés (+111 %) pour une masse salariale en hausse de 46 % seulement, malgré 22 départs enregistrés sur l'exercice — la montée en charge industrielle est réelle et maîtrisée.</w:t>
      </w:r>
    </w:p>
    <w:p>
      <w:pPr>
        <w:spacing w:after="120" w:before="0" w:line="276"/>
      </w:pPr>
      <w:r>
        <w:rPr>
          <w:rFonts w:ascii="Calibri" w:cs="Calibri" w:eastAsia="Calibri" w:hAnsi="Calibri"/>
          <w:b w:val="false"/>
          <w:bCs w:val="false"/>
          <w:i w:val="false"/>
          <w:iCs w:val="false"/>
          <w:sz w:val="20"/>
          <w:szCs w:val="20"/>
        </w:rPr>
        <w:t xml:space="preserve">Actionnariat certifié au 31/12/2025 (note 13) : CONSEIL DU CAFÉ-CACAO 99,99 %, TRANSCAO NÉGOCE 0,01 %. L'entrée annoncée de GCB à hauteur de 25 % est postérieure à la clôture et n'est documentée par aucune pièce au dossier.</w:t>
      </w:r>
    </w:p>
    <w:p>
      <w:pPr>
        <w:pStyle w:val="Heading1"/>
        <w:spacing w:after="160" w:before="320"/>
      </w:pPr>
      <w:r>
        <w:rPr>
          <w:rFonts w:ascii="Calibri" w:cs="Calibri" w:eastAsia="Calibri" w:hAnsi="Calibri"/>
          <w:b/>
          <w:bCs/>
          <w:color w:val="1F3864"/>
          <w:sz w:val="28"/>
          <w:szCs w:val="28"/>
        </w:rPr>
        <w:t xml:space="preserve">3. Le cadre : les spécificités de la campagne cacao ivoirienne</w:t>
      </w:r>
    </w:p>
    <w:p>
      <w:pPr>
        <w:spacing w:after="120" w:before="0" w:line="276"/>
      </w:pPr>
      <w:r>
        <w:rPr>
          <w:rFonts w:ascii="Calibri" w:cs="Calibri" w:eastAsia="Calibri" w:hAnsi="Calibri"/>
          <w:b w:val="false"/>
          <w:bCs w:val="false"/>
          <w:i w:val="false"/>
          <w:iCs w:val="false"/>
          <w:sz w:val="20"/>
          <w:szCs w:val="20"/>
        </w:rPr>
        <w:t xml:space="preserve">Trois mécanismes déforment structurellement les comptes d'un broyeur ivoirien et doivent être neutralisés avant toute conclusion.</w:t>
      </w:r>
    </w:p>
    <w:p>
      <w:pPr>
        <w:pStyle w:val="Heading3"/>
        <w:spacing w:after="100" w:before="200"/>
      </w:pPr>
      <w:r>
        <w:rPr>
          <w:rFonts w:ascii="Calibri" w:cs="Calibri" w:eastAsia="Calibri" w:hAnsi="Calibri"/>
          <w:b/>
          <w:bCs/>
          <w:color w:val="333333"/>
          <w:sz w:val="21"/>
          <w:szCs w:val="21"/>
        </w:rPr>
        <w:t xml:space="preserve">Le prix d'achat est administré, pas négocié</w:t>
      </w:r>
    </w:p>
    <w:p>
      <w:pPr>
        <w:spacing w:after="120" w:before="0" w:line="276"/>
      </w:pPr>
      <w:r>
        <w:rPr>
          <w:rFonts w:ascii="Calibri" w:cs="Calibri" w:eastAsia="Calibri" w:hAnsi="Calibri"/>
          <w:b w:val="false"/>
          <w:bCs w:val="false"/>
          <w:i w:val="false"/>
          <w:iCs w:val="false"/>
          <w:sz w:val="20"/>
          <w:szCs w:val="20"/>
        </w:rPr>
        <w:t xml:space="preserve">Le prix minimum garanti au producteur est fixé en début de chaque campagne, principale et intermédiaire, à 60 % du prix CAF de référence, avec un plancher de 50 %. Le broyeur achète donc à un prix figé en début de campagne et vend à un prix mondial qui bouge en continu.</w:t>
      </w:r>
    </w:p>
    <w:p>
      <w:pPr>
        <w:pStyle w:val="Heading3"/>
        <w:spacing w:after="100" w:before="200"/>
      </w:pPr>
      <w:r>
        <w:rPr>
          <w:rFonts w:ascii="Calibri" w:cs="Calibri" w:eastAsia="Calibri" w:hAnsi="Calibri"/>
          <w:b/>
          <w:bCs/>
          <w:color w:val="333333"/>
          <w:sz w:val="21"/>
          <w:szCs w:val="21"/>
        </w:rPr>
        <w:t xml:space="preserve">L'écart est absorbé par le CCC via le mécanisme soutien / reversement</w:t>
      </w:r>
    </w:p>
    <w:p>
      <w:pPr>
        <w:spacing w:after="120" w:before="0" w:line="276"/>
      </w:pPr>
      <w:r>
        <w:rPr>
          <w:rFonts w:ascii="Calibri" w:cs="Calibri" w:eastAsia="Calibri" w:hAnsi="Calibri"/>
          <w:b w:val="false"/>
          <w:bCs w:val="false"/>
          <w:i w:val="false"/>
          <w:iCs w:val="false"/>
          <w:sz w:val="20"/>
          <w:szCs w:val="20"/>
        </w:rPr>
        <w:t xml:space="preserve">Campagne principale 2025-2026 : prix bord champ à 2 800 FCFA/kg, record historique. Campagne intermédiaire ouverte le 04/03/2026 : 1 200 FCFA/kg, sur un effondrement des cours mondiaux d'environ 70 % depuis décembre 2025. Campagne 2026-2027, arbitrée le 1er septembre 2026 : 1 200 FCFA/kg, le ministre justifiant l'arbitrage par la nécessité de préserver l'équilibre budgétaire du mécanisme de commercialisation.</w:t>
      </w:r>
    </w:p>
    <w:p>
      <w:pPr>
        <w:pStyle w:val="Heading3"/>
        <w:spacing w:after="100" w:before="200"/>
      </w:pPr>
      <w:r>
        <w:rPr>
          <w:rFonts w:ascii="Calibri" w:cs="Calibri" w:eastAsia="Calibri" w:hAnsi="Calibri"/>
          <w:b/>
          <w:bCs/>
          <w:color w:val="333333"/>
          <w:sz w:val="21"/>
          <w:szCs w:val="21"/>
        </w:rPr>
        <w:t xml:space="preserve">Le DRD écrase la marge en marché bas</w:t>
      </w:r>
    </w:p>
    <w:p>
      <w:pPr>
        <w:spacing w:after="120" w:before="0" w:line="276"/>
      </w:pPr>
      <w:r>
        <w:rPr>
          <w:rFonts w:ascii="Calibri" w:cs="Calibri" w:eastAsia="Calibri" w:hAnsi="Calibri"/>
          <w:b w:val="false"/>
          <w:bCs w:val="false"/>
          <w:i w:val="false"/>
          <w:iCs w:val="false"/>
          <w:sz w:val="20"/>
          <w:szCs w:val="20"/>
        </w:rPr>
        <w:t xml:space="preserve">Les déblocages du dossier montrent un DRD stable à 218-229 F/kg quel que soit le marché. Quand le prix CAF passe de 3 749 F/kg (oct-déc 2025) à 1 380 F/kg (avr-juin 2026), le DRD passe de 6 % à 16 % du prix. C'est structurel et non couvrable.</w:t>
      </w:r>
    </w:p>
    <w:p>
      <w:pPr>
        <w:spacing w:after="100"/>
      </w:pPr>
    </w:p>
    <w:p>
      <w:pPr>
        <w:spacing w:after="120" w:before="0" w:line="276"/>
      </w:pPr>
      <w:r>
        <w:rPr>
          <w:rFonts w:ascii="Calibri" w:cs="Calibri" w:eastAsia="Calibri" w:hAnsi="Calibri"/>
          <w:b/>
          <w:bCs/>
          <w:i w:val="false"/>
          <w:iCs w:val="false"/>
          <w:sz w:val="20"/>
          <w:szCs w:val="20"/>
        </w:rPr>
        <w:t xml:space="preserve">Conséquence de lecture : la marge d'un broyeur ivoirien n'est pas un résultat commercial, c'est une créance ou une dette sur le CCC.</w:t>
      </w:r>
    </w:p>
    <w:p>
      <w:pPr>
        <w:spacing w:after="120" w:before="0" w:line="276"/>
      </w:pPr>
      <w:r>
        <w:rPr>
          <w:rFonts w:ascii="Calibri" w:cs="Calibri" w:eastAsia="Calibri" w:hAnsi="Calibri"/>
          <w:b w:val="false"/>
          <w:bCs w:val="false"/>
          <w:i w:val="false"/>
          <w:iCs w:val="false"/>
          <w:sz w:val="20"/>
          <w:szCs w:val="20"/>
        </w:rPr>
        <w:t xml:space="preserve">La note 21 des états financiers la chiffre pour la première fois :</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5867"/>
        <w:gridCol w:w="3159"/>
      </w:tblGrid>
      <w:tr>
        <w:trPr>
          <w:tblHeader/>
        </w:trPr>
        <w:tc>
          <w:tcPr>
            <w:tcW w:type="dxa" w:w="5867"/>
            <w:shd w:fill="1F3864" w:color="auto" w:val="clear"/>
            <w:tcMar>
              <w:top w:type="dxa" w:w="60"/>
              <w:left w:type="dxa" w:w="90"/>
              <w:bottom w:type="dxa" w:w="60"/>
              <w:right w:type="dxa" w:w="90"/>
            </w:tcMar>
          </w:tcPr>
          <w:p>
            <w:pPr>
              <w:spacing w:after="0" w:line="240"/>
            </w:pPr>
            <w:r>
              <w:rPr>
                <w:rFonts w:ascii="Calibri" w:cs="Calibri" w:eastAsia="Calibri" w:hAnsi="Calibri"/>
                <w:b/>
                <w:bCs/>
                <w:i w:val="false"/>
                <w:iCs w:val="false"/>
                <w:color w:val="FFFFFF"/>
                <w:sz w:val="18"/>
                <w:szCs w:val="18"/>
              </w:rPr>
              <w:t xml:space="preserve">Composante du mécanisme de stabilisation</w:t>
            </w:r>
          </w:p>
        </w:tc>
        <w:tc>
          <w:tcPr>
            <w:tcW w:type="dxa" w:w="3159"/>
            <w:shd w:fill="1F3864"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color w:val="FFFFFF"/>
                <w:sz w:val="18"/>
                <w:szCs w:val="18"/>
              </w:rPr>
              <w:t xml:space="preserve">FCFA</w:t>
            </w:r>
          </w:p>
        </w:tc>
      </w:tr>
      <w:tr>
        <w:tc>
          <w:tcPr>
            <w:tcW w:type="dxa" w:w="5867"/>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Charge CCC STABILISATION</w:t>
            </w:r>
          </w:p>
        </w:tc>
        <w:tc>
          <w:tcPr>
            <w:tcW w:type="dxa" w:w="3159"/>
            <w:tcMar>
              <w:top w:type="dxa" w:w="60"/>
              <w:left w:type="dxa" w:w="90"/>
              <w:bottom w:type="dxa" w:w="60"/>
              <w:right w:type="dxa" w:w="90"/>
            </w:tcMar>
          </w:tcPr>
          <w:p>
            <w:pPr>
              <w:spacing w:after="0" w:line="240"/>
              <w:jc w:val="center"/>
            </w:pPr>
            <w:r>
              <w:rPr>
                <w:rFonts w:ascii="Calibri" w:cs="Calibri" w:eastAsia="Calibri" w:hAnsi="Calibri"/>
                <w:b/>
                <w:bCs/>
                <w:i w:val="false"/>
                <w:iCs w:val="false"/>
                <w:color w:val="C00000"/>
                <w:sz w:val="18"/>
                <w:szCs w:val="18"/>
              </w:rPr>
              <w:t xml:space="preserve">-13 961 922 170</w:t>
            </w:r>
          </w:p>
        </w:tc>
      </w:tr>
      <w:tr>
        <w:tc>
          <w:tcPr>
            <w:tcW w:type="dxa" w:w="5867"/>
            <w:shd w:fill="FAFAFA" w:color="auto" w:val="clear"/>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Soutiens CCC perçus</w:t>
            </w:r>
          </w:p>
        </w:tc>
        <w:tc>
          <w:tcPr>
            <w:tcW w:type="dxa" w:w="3159"/>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+966 179 420</w:t>
            </w:r>
          </w:p>
        </w:tc>
      </w:tr>
      <w:tr>
        <w:tc>
          <w:tcPr>
            <w:tcW w:type="dxa" w:w="5867"/>
            <w:shd w:fill="F2F2F2" w:color="auto" w:val="clear"/>
            <w:tcMar>
              <w:top w:type="dxa" w:w="60"/>
              <w:left w:type="dxa" w:w="90"/>
              <w:bottom w:type="dxa" w:w="60"/>
              <w:right w:type="dxa" w:w="90"/>
            </w:tcMar>
          </w:tcPr>
          <w:p>
            <w:pPr>
              <w:spacing w:after="0" w:line="240"/>
            </w:pPr>
            <w:r>
              <w:rPr>
                <w:rFonts w:ascii="Calibri" w:cs="Calibri" w:eastAsia="Calibri" w:hAnsi="Calibri"/>
                <w:b/>
                <w:bCs/>
                <w:i w:val="false"/>
                <w:iCs w:val="false"/>
                <w:sz w:val="18"/>
                <w:szCs w:val="18"/>
              </w:rPr>
              <w:t xml:space="preserve">Net — produits accessoires (poste TD)</w:t>
            </w:r>
          </w:p>
        </w:tc>
        <w:tc>
          <w:tcPr>
            <w:tcW w:type="dxa" w:w="3159"/>
            <w:shd w:fill="F2F2F2"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8"/>
                <w:szCs w:val="18"/>
              </w:rPr>
              <w:t xml:space="preserve">-12 995 742 750</w:t>
            </w:r>
          </w:p>
        </w:tc>
      </w:tr>
    </w:tbl>
    <w:p>
      <w:pPr>
        <w:spacing w:after="200" w:before="0" w:line="276"/>
      </w:pPr>
      <w:r>
        <w:rPr>
          <w:rFonts w:ascii="Calibri" w:cs="Calibri" w:eastAsia="Calibri" w:hAnsi="Calibri"/>
          <w:b w:val="false"/>
          <w:bCs w:val="false"/>
          <w:i w:val="false"/>
          <w:iCs w:val="false"/>
          <w:sz w:val="20"/>
          <w:szCs w:val="20"/>
        </w:rPr>
        <w:t xml:space="preserve">Soit 14,5 francs reversés pour 1 franc de soutien perçu en 2025. Le prévisionnel 2026 repose sur un retournement à 41 032 MXOF de soutiens, c'est-à-dire un rapport inversé d'un facteur 42 en une année, sans aucune pièce contractuelle au dossier.</w:t>
      </w:r>
    </w:p>
    <w:p>
      <w:r>
        <w:br w:type="page"/>
      </w:r>
    </w:p>
    <w:p>
      <w:pPr>
        <w:pStyle w:val="Heading1"/>
        <w:spacing w:after="160" w:before="320"/>
      </w:pPr>
      <w:r>
        <w:rPr>
          <w:rFonts w:ascii="Calibri" w:cs="Calibri" w:eastAsia="Calibri" w:hAnsi="Calibri"/>
          <w:b/>
          <w:bCs/>
          <w:color w:val="1F3864"/>
          <w:sz w:val="28"/>
          <w:szCs w:val="28"/>
        </w:rPr>
        <w:t xml:space="preserve">4. Analyse de la situation financière</w:t>
      </w:r>
    </w:p>
    <w:p>
      <w:pPr>
        <w:pStyle w:val="Heading2"/>
        <w:spacing w:after="120" w:before="260"/>
      </w:pPr>
      <w:r>
        <w:rPr>
          <w:rFonts w:ascii="Calibri" w:cs="Calibri" w:eastAsia="Calibri" w:hAnsi="Calibri"/>
          <w:b/>
          <w:bCs/>
          <w:color w:val="1F3864"/>
          <w:sz w:val="23"/>
          <w:szCs w:val="23"/>
        </w:rPr>
        <w:t xml:space="preserve">4.1 Activité et rentabilité</w:t>
      </w:r>
    </w:p>
    <w:p>
      <w:pPr>
        <w:spacing w:after="120" w:before="0" w:line="276"/>
      </w:pPr>
      <w:r>
        <w:rPr>
          <w:rFonts w:ascii="Calibri" w:cs="Calibri" w:eastAsia="Calibri" w:hAnsi="Calibri"/>
          <w:b w:val="false"/>
          <w:bCs w:val="false"/>
          <w:i w:val="false"/>
          <w:iCs w:val="false"/>
          <w:sz w:val="20"/>
          <w:szCs w:val="20"/>
        </w:rPr>
        <w:t xml:space="preserve">Le chiffre d'affaires progresse de 9,1 % tandis que la production vendue croît de 50,2 % (54 776 contre 36 473 MXOF). L'écart entre ces deux taux constitue le fait marquant de l'exercice : les produits accessoires basculent de +1 811 à -12 996 MXOF.</w:t>
      </w:r>
    </w:p>
    <w:p>
      <w:pPr>
        <w:spacing w:after="120" w:before="0" w:line="276"/>
      </w:pPr>
      <w:r>
        <w:rPr>
          <w:rFonts w:ascii="Calibri" w:cs="Calibri" w:eastAsia="Calibri" w:hAnsi="Calibri"/>
          <w:b w:val="false"/>
          <w:bCs w:val="false"/>
          <w:i w:val="false"/>
          <w:iCs w:val="false"/>
          <w:sz w:val="20"/>
          <w:szCs w:val="20"/>
        </w:rPr>
        <w:t xml:space="preserve">Les achats de matières premières bondissent de 115,6 % à 55 742 MXOF, dont plus de 55,5 GXOF de fèves, sous l'effet du prix bord champ porté à 2 800 F/kg. Les impôts et taxes doublent à 8 073 MXOF, dont 4 590 de DUS et 3 097 de droits et taxes d'enregistrement liés à l'augmentation de capital — ces derniers non récurrents.</w:t>
      </w:r>
    </w:p>
    <w:p>
      <w:pPr>
        <w:spacing w:after="120" w:before="0" w:line="276"/>
      </w:pPr>
      <w:r>
        <w:rPr>
          <w:rFonts w:ascii="Calibri" w:cs="Calibri" w:eastAsia="Calibri" w:hAnsi="Calibri"/>
          <w:b w:val="false"/>
          <w:bCs w:val="false"/>
          <w:i w:val="false"/>
          <w:iCs w:val="false"/>
          <w:sz w:val="20"/>
          <w:szCs w:val="20"/>
        </w:rPr>
        <w:t xml:space="preserve">Il en ressort une valeur ajoutée négative de -3 120 MXOF, un EBE de -5 074 MXOF et un résultat net de -13 012 MXOF.</w:t>
      </w:r>
    </w:p>
    <w:p>
      <w:pPr>
        <w:pStyle w:val="Heading3"/>
        <w:spacing w:after="100" w:before="200"/>
      </w:pPr>
      <w:r>
        <w:rPr>
          <w:rFonts w:ascii="Calibri" w:cs="Calibri" w:eastAsia="Calibri" w:hAnsi="Calibri"/>
          <w:b/>
          <w:bCs/>
          <w:color w:val="333333"/>
          <w:sz w:val="21"/>
          <w:szCs w:val="21"/>
        </w:rPr>
        <w:t xml:space="preserve">Retraitement décisif</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610"/>
        <w:gridCol w:w="2257"/>
        <w:gridCol w:w="3159"/>
      </w:tblGrid>
      <w:tr>
        <w:trPr>
          <w:tblHeader/>
        </w:trPr>
        <w:tc>
          <w:tcPr>
            <w:tcW w:type="dxa" w:w="3610"/>
            <w:shd w:fill="1F3864" w:color="auto" w:val="clear"/>
            <w:tcMar>
              <w:top w:type="dxa" w:w="60"/>
              <w:left w:type="dxa" w:w="90"/>
              <w:bottom w:type="dxa" w:w="60"/>
              <w:right w:type="dxa" w:w="90"/>
            </w:tcMar>
          </w:tcPr>
          <w:p>
            <w:pPr>
              <w:spacing w:after="0" w:line="240"/>
            </w:pPr>
            <w:r>
              <w:rPr>
                <w:rFonts w:ascii="Calibri" w:cs="Calibri" w:eastAsia="Calibri" w:hAnsi="Calibri"/>
                <w:b/>
                <w:bCs/>
                <w:i w:val="false"/>
                <w:iCs w:val="false"/>
                <w:color w:val="FFFFFF"/>
                <w:sz w:val="18"/>
                <w:szCs w:val="18"/>
              </w:rPr>
              <w:t xml:space="preserve">MXOF</w:t>
            </w:r>
          </w:p>
        </w:tc>
        <w:tc>
          <w:tcPr>
            <w:tcW w:type="dxa" w:w="2257"/>
            <w:shd w:fill="1F3864"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color w:val="FFFFFF"/>
                <w:sz w:val="18"/>
                <w:szCs w:val="18"/>
              </w:rPr>
              <w:t xml:space="preserve">Publié</w:t>
            </w:r>
          </w:p>
        </w:tc>
        <w:tc>
          <w:tcPr>
            <w:tcW w:type="dxa" w:w="3159"/>
            <w:shd w:fill="1F3864"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color w:val="FFFFFF"/>
                <w:sz w:val="18"/>
                <w:szCs w:val="18"/>
              </w:rPr>
              <w:t xml:space="preserve">Retraité (reversement + droits d'enregistrement)</w:t>
            </w:r>
          </w:p>
        </w:tc>
      </w:tr>
      <w:tr>
        <w:tc>
          <w:tcPr>
            <w:tcW w:type="dxa" w:w="3610"/>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Valeur ajoutée</w:t>
            </w:r>
          </w:p>
        </w:tc>
        <w:tc>
          <w:tcPr>
            <w:tcW w:type="dxa" w:w="2257"/>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-3 120</w:t>
            </w:r>
          </w:p>
        </w:tc>
        <w:tc>
          <w:tcPr>
            <w:tcW w:type="dxa" w:w="3159"/>
            <w:tcMar>
              <w:top w:type="dxa" w:w="60"/>
              <w:left w:type="dxa" w:w="90"/>
              <w:bottom w:type="dxa" w:w="60"/>
              <w:right w:type="dxa" w:w="90"/>
            </w:tcMar>
          </w:tcPr>
          <w:p>
            <w:pPr>
              <w:spacing w:after="0" w:line="240"/>
              <w:jc w:val="center"/>
            </w:pPr>
            <w:r>
              <w:rPr>
                <w:rFonts w:ascii="Calibri" w:cs="Calibri" w:eastAsia="Calibri" w:hAnsi="Calibri"/>
                <w:b/>
                <w:bCs/>
                <w:i w:val="false"/>
                <w:iCs w:val="false"/>
                <w:sz w:val="18"/>
                <w:szCs w:val="18"/>
              </w:rPr>
              <w:t xml:space="preserve">+12 973</w:t>
            </w:r>
          </w:p>
        </w:tc>
      </w:tr>
      <w:tr>
        <w:tc>
          <w:tcPr>
            <w:tcW w:type="dxa" w:w="3610"/>
            <w:shd w:fill="FAFAFA" w:color="auto" w:val="clear"/>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Excédent brut d'exploitation</w:t>
            </w:r>
          </w:p>
        </w:tc>
        <w:tc>
          <w:tcPr>
            <w:tcW w:type="dxa" w:w="2257"/>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-5 074</w:t>
            </w:r>
          </w:p>
        </w:tc>
        <w:tc>
          <w:tcPr>
            <w:tcW w:type="dxa" w:w="3159"/>
            <w:shd w:fill="FAFAFA"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8"/>
                <w:szCs w:val="18"/>
              </w:rPr>
              <w:t xml:space="preserve">+11 019</w:t>
            </w:r>
          </w:p>
        </w:tc>
      </w:tr>
      <w:tr>
        <w:tc>
          <w:tcPr>
            <w:tcW w:type="dxa" w:w="3610"/>
            <w:shd w:fill="F2F2F2" w:color="auto" w:val="clear"/>
            <w:tcMar>
              <w:top w:type="dxa" w:w="60"/>
              <w:left w:type="dxa" w:w="90"/>
              <w:bottom w:type="dxa" w:w="60"/>
              <w:right w:type="dxa" w:w="90"/>
            </w:tcMar>
          </w:tcPr>
          <w:p>
            <w:pPr>
              <w:spacing w:after="0" w:line="240"/>
            </w:pPr>
            <w:r>
              <w:rPr>
                <w:rFonts w:ascii="Calibri" w:cs="Calibri" w:eastAsia="Calibri" w:hAnsi="Calibri"/>
                <w:b/>
                <w:bCs/>
                <w:i w:val="false"/>
                <w:iCs w:val="false"/>
                <w:sz w:val="18"/>
                <w:szCs w:val="18"/>
              </w:rPr>
              <w:t xml:space="preserve">EBE / production vendue</w:t>
            </w:r>
          </w:p>
        </w:tc>
        <w:tc>
          <w:tcPr>
            <w:tcW w:type="dxa" w:w="2257"/>
            <w:shd w:fill="F2F2F2"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8"/>
                <w:szCs w:val="18"/>
              </w:rPr>
              <w:t xml:space="preserve">-9,3 %</w:t>
            </w:r>
          </w:p>
        </w:tc>
        <w:tc>
          <w:tcPr>
            <w:tcW w:type="dxa" w:w="3159"/>
            <w:shd w:fill="F2F2F2"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8"/>
                <w:szCs w:val="18"/>
              </w:rPr>
              <w:t xml:space="preserve">+20,1 %</w:t>
            </w:r>
          </w:p>
        </w:tc>
      </w:tr>
    </w:tbl>
    <w:p>
      <w:pPr>
        <w:spacing w:after="120" w:before="0" w:line="276"/>
      </w:pPr>
      <w:r>
        <w:rPr>
          <w:rFonts w:ascii="Calibri" w:cs="Calibri" w:eastAsia="Calibri" w:hAnsi="Calibri"/>
          <w:b/>
          <w:bCs/>
          <w:i w:val="false"/>
          <w:iCs w:val="false"/>
          <w:sz w:val="20"/>
          <w:szCs w:val="20"/>
        </w:rPr>
        <w:t xml:space="preserve">20,1 % de marge industrielle, contre 5 % pour GCB Cocoa CI. L'outil est bon. Le problème n'est pas la compétitivité de la transformation, c'est l'appropriation de la marge, captée par l'actionnaire régulateur en marché haut.</w:t>
      </w:r>
    </w:p>
    <w:p>
      <w:pPr>
        <w:pStyle w:val="Heading3"/>
        <w:spacing w:after="100" w:before="200"/>
      </w:pPr>
      <w:r>
        <w:rPr>
          <w:rFonts w:ascii="Calibri" w:cs="Calibri" w:eastAsia="Calibri" w:hAnsi="Calibri"/>
          <w:b/>
          <w:bCs/>
          <w:color w:val="333333"/>
          <w:sz w:val="21"/>
          <w:szCs w:val="21"/>
        </w:rPr>
        <w:t xml:space="preserve">Mais l'historique tempère (note 31)</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8"/>
        <w:gridCol w:w="1986"/>
        <w:gridCol w:w="1986"/>
        <w:gridCol w:w="1986"/>
      </w:tblGrid>
      <w:tr>
        <w:trPr>
          <w:tblHeader/>
        </w:trPr>
        <w:tc>
          <w:tcPr>
            <w:tcW w:type="dxa" w:w="3068"/>
            <w:shd w:fill="1F3864" w:color="auto" w:val="clear"/>
            <w:tcMar>
              <w:top w:type="dxa" w:w="60"/>
              <w:left w:type="dxa" w:w="90"/>
              <w:bottom w:type="dxa" w:w="60"/>
              <w:right w:type="dxa" w:w="90"/>
            </w:tcMar>
          </w:tcPr>
          <w:p>
            <w:pPr>
              <w:spacing w:after="0" w:line="240"/>
            </w:pPr>
            <w:r>
              <w:rPr>
                <w:rFonts w:ascii="Calibri" w:cs="Calibri" w:eastAsia="Calibri" w:hAnsi="Calibri"/>
                <w:b/>
                <w:bCs/>
                <w:i w:val="false"/>
                <w:iCs w:val="false"/>
                <w:color w:val="FFFFFF"/>
                <w:sz w:val="18"/>
                <w:szCs w:val="18"/>
              </w:rPr>
              <w:t xml:space="preserve">MXOF</w:t>
            </w:r>
          </w:p>
        </w:tc>
        <w:tc>
          <w:tcPr>
            <w:tcW w:type="dxa" w:w="1986"/>
            <w:shd w:fill="1F3864"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color w:val="FFFFFF"/>
                <w:sz w:val="18"/>
                <w:szCs w:val="18"/>
              </w:rPr>
              <w:t xml:space="preserve">2023</w:t>
            </w:r>
          </w:p>
        </w:tc>
        <w:tc>
          <w:tcPr>
            <w:tcW w:type="dxa" w:w="1986"/>
            <w:shd w:fill="1F3864"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color w:val="FFFFFF"/>
                <w:sz w:val="18"/>
                <w:szCs w:val="18"/>
              </w:rPr>
              <w:t xml:space="preserve">2024</w:t>
            </w:r>
          </w:p>
        </w:tc>
        <w:tc>
          <w:tcPr>
            <w:tcW w:type="dxa" w:w="1986"/>
            <w:shd w:fill="1F3864"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color w:val="FFFFFF"/>
                <w:sz w:val="18"/>
                <w:szCs w:val="18"/>
              </w:rPr>
              <w:t xml:space="preserve">2025</w:t>
            </w:r>
          </w:p>
        </w:tc>
      </w:tr>
      <w:tr>
        <w:tc>
          <w:tcPr>
            <w:tcW w:type="dxa" w:w="3068"/>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Chiffre d'affaires</w:t>
            </w:r>
          </w:p>
        </w:tc>
        <w:tc>
          <w:tcPr>
            <w:tcW w:type="dxa" w:w="1986"/>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36 058</w:t>
            </w:r>
          </w:p>
        </w:tc>
        <w:tc>
          <w:tcPr>
            <w:tcW w:type="dxa" w:w="1986"/>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38 285</w:t>
            </w:r>
          </w:p>
        </w:tc>
        <w:tc>
          <w:tcPr>
            <w:tcW w:type="dxa" w:w="1986"/>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41 780</w:t>
            </w:r>
          </w:p>
        </w:tc>
      </w:tr>
      <w:tr>
        <w:tc>
          <w:tcPr>
            <w:tcW w:type="dxa" w:w="3068"/>
            <w:shd w:fill="F2F2F2" w:color="auto" w:val="clear"/>
            <w:tcMar>
              <w:top w:type="dxa" w:w="60"/>
              <w:left w:type="dxa" w:w="90"/>
              <w:bottom w:type="dxa" w:w="60"/>
              <w:right w:type="dxa" w:w="90"/>
            </w:tcMar>
          </w:tcPr>
          <w:p>
            <w:pPr>
              <w:spacing w:after="0" w:line="240"/>
            </w:pPr>
            <w:r>
              <w:rPr>
                <w:rFonts w:ascii="Calibri" w:cs="Calibri" w:eastAsia="Calibri" w:hAnsi="Calibri"/>
                <w:b/>
                <w:bCs/>
                <w:i w:val="false"/>
                <w:iCs w:val="false"/>
                <w:sz w:val="18"/>
                <w:szCs w:val="18"/>
              </w:rPr>
              <w:t xml:space="preserve">Résultat net</w:t>
            </w:r>
          </w:p>
        </w:tc>
        <w:tc>
          <w:tcPr>
            <w:tcW w:type="dxa" w:w="1986"/>
            <w:shd w:fill="F2F2F2"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color w:val="C00000"/>
                <w:sz w:val="18"/>
                <w:szCs w:val="18"/>
              </w:rPr>
              <w:t xml:space="preserve">-4 846</w:t>
            </w:r>
          </w:p>
        </w:tc>
        <w:tc>
          <w:tcPr>
            <w:tcW w:type="dxa" w:w="1986"/>
            <w:shd w:fill="F2F2F2"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8"/>
                <w:szCs w:val="18"/>
              </w:rPr>
              <w:t xml:space="preserve">+3 789</w:t>
            </w:r>
          </w:p>
        </w:tc>
        <w:tc>
          <w:tcPr>
            <w:tcW w:type="dxa" w:w="1986"/>
            <w:shd w:fill="F2F2F2"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color w:val="C00000"/>
                <w:sz w:val="18"/>
                <w:szCs w:val="18"/>
              </w:rPr>
              <w:t xml:space="preserve">-13 012</w:t>
            </w:r>
          </w:p>
        </w:tc>
      </w:tr>
    </w:tbl>
    <w:p>
      <w:pPr>
        <w:spacing w:after="120" w:before="0" w:line="276"/>
      </w:pPr>
      <w:r>
        <w:rPr>
          <w:rFonts w:ascii="Calibri" w:cs="Calibri" w:eastAsia="Calibri" w:hAnsi="Calibri"/>
          <w:b w:val="false"/>
          <w:bCs w:val="false"/>
          <w:i w:val="false"/>
          <w:iCs w:val="false"/>
          <w:sz w:val="20"/>
          <w:szCs w:val="20"/>
        </w:rPr>
        <w:t xml:space="preserve">Or la note 21 révèle que le résultat 2024 intégrait 3 000 MXOF de subvention d'exploitation versée par le CCC, nulle en 2025. Retraité, 2024 tombe à +789 MXOF sur 38 GXOF de CA, soit 2 %. Sur trois exercices, TRANSCAO n'a jamais dégagé de résultat significatif par sa seule exploitation. Le CREDAPP présente 2024 comme la norme et 2025 comme l'accident ; c'est l'inverse.</w:t>
      </w:r>
    </w:p>
    <w:p>
      <w:pPr>
        <w:pStyle w:val="Heading3"/>
        <w:spacing w:after="100" w:before="200"/>
      </w:pPr>
      <w:r>
        <w:rPr>
          <w:rFonts w:ascii="Calibri" w:cs="Calibri" w:eastAsia="Calibri" w:hAnsi="Calibri"/>
          <w:b/>
          <w:bCs/>
          <w:color w:val="333333"/>
          <w:sz w:val="21"/>
          <w:szCs w:val="21"/>
        </w:rPr>
        <w:t xml:space="preserve">Deux signaux positifs à ne pas manquer</w:t>
      </w:r>
    </w:p>
    <w:p>
      <w:pPr>
        <w:pStyle w:val="ListParagraph"/>
        <w:numPr>
          <w:ilvl w:val="0"/>
          <w:numId w:val="2"/>
        </w:numPr>
        <w:spacing w:after="80" w:line="264"/>
      </w:pPr>
      <w:r>
        <w:rPr>
          <w:rFonts w:ascii="Calibri" w:cs="Calibri" w:eastAsia="Calibri" w:hAnsi="Calibri"/>
          <w:b w:val="false"/>
          <w:bCs w:val="false"/>
          <w:i w:val="false"/>
          <w:iCs w:val="false"/>
          <w:sz w:val="20"/>
          <w:szCs w:val="20"/>
        </w:rPr>
        <w:t xml:space="preserve">Les pénalités et amendes liées aux délais logistiques (douanes, embarquement) passent de 493 à 59 MXOF, soit -88 % (note 26). Progrès opérationnel réel.</w:t>
      </w:r>
    </w:p>
    <w:p>
      <w:pPr>
        <w:pStyle w:val="ListParagraph"/>
        <w:numPr>
          <w:ilvl w:val="0"/>
          <w:numId w:val="2"/>
        </w:numPr>
        <w:spacing w:after="80" w:line="264"/>
      </w:pPr>
      <w:r>
        <w:rPr>
          <w:rFonts w:ascii="Calibri" w:cs="Calibri" w:eastAsia="Calibri" w:hAnsi="Calibri"/>
          <w:b w:val="false"/>
          <w:bCs w:val="false"/>
          <w:i w:val="false"/>
          <w:iCs w:val="false"/>
          <w:sz w:val="20"/>
          <w:szCs w:val="20"/>
        </w:rPr>
        <w:t xml:space="preserve">Les primes de certification rapportent 1 073 MXOF (889 Rainforest, 184 Fairtrade), soit 2 % du CA en marge additionnelle directement attribuable au certificat valide jusqu'au 12/01/2029.</w:t>
      </w:r>
    </w:p>
    <w:p>
      <w:pPr>
        <w:pStyle w:val="Heading2"/>
        <w:spacing w:after="120" w:before="260"/>
      </w:pPr>
      <w:r>
        <w:rPr>
          <w:rFonts w:ascii="Calibri" w:cs="Calibri" w:eastAsia="Calibri" w:hAnsi="Calibri"/>
          <w:b/>
          <w:bCs/>
          <w:color w:val="1F3864"/>
          <w:sz w:val="23"/>
          <w:szCs w:val="23"/>
        </w:rPr>
        <w:t xml:space="preserve">4.2 Structure financière</w:t>
      </w:r>
    </w:p>
    <w:p>
      <w:pPr>
        <w:spacing w:after="120" w:before="0" w:line="276"/>
      </w:pPr>
      <w:r>
        <w:rPr>
          <w:rFonts w:ascii="Calibri" w:cs="Calibri" w:eastAsia="Calibri" w:hAnsi="Calibri"/>
          <w:b w:val="false"/>
          <w:bCs w:val="false"/>
          <w:i w:val="false"/>
          <w:iCs w:val="false"/>
          <w:sz w:val="20"/>
          <w:szCs w:val="20"/>
        </w:rPr>
        <w:t xml:space="preserve">Le ratio de solvabilité passe de 6,4 % à 41,7 % et le gearing de 8,56x à 0,37x. Cette transformation est intégralement liée à l'augmentation de capital du 06/01/2025 : apport en nature de l'usine PK24, valorisée 73 673 MXOF, dont 18 829 en capital et 54 844 en prime d'émission, cette dernière ramenée à 53 092 au bilan après imputation de 1 752 MXOF de frais d'opération.</w:t>
      </w:r>
    </w:p>
    <w:p>
      <w:pPr>
        <w:spacing w:after="120" w:before="0" w:line="276"/>
      </w:pPr>
      <w:r>
        <w:rPr>
          <w:rFonts w:ascii="Calibri" w:cs="Calibri" w:eastAsia="Calibri" w:hAnsi="Calibri"/>
          <w:b/>
          <w:bCs/>
          <w:i w:val="false"/>
          <w:iCs w:val="false"/>
          <w:sz w:val="20"/>
          <w:szCs w:val="20"/>
        </w:rPr>
        <w:t xml:space="preserve">Cette solidité est purement bilancielle. L'apport n'a apporté aucune trésorerie ; il a en revanche porté les dotations aux amortissements de 559 à 6 420 MXOF.</w:t>
      </w:r>
    </w:p>
    <w:p>
      <w:pPr>
        <w:spacing w:after="120" w:before="0" w:line="276"/>
      </w:pPr>
      <w:r>
        <w:rPr>
          <w:rFonts w:ascii="Calibri" w:cs="Calibri" w:eastAsia="Calibri" w:hAnsi="Calibri"/>
          <w:b w:val="false"/>
          <w:bCs w:val="false"/>
          <w:i w:val="false"/>
          <w:iCs w:val="false"/>
          <w:sz w:val="20"/>
          <w:szCs w:val="20"/>
        </w:rPr>
        <w:t xml:space="preserve">Le fonds de roulement reste négatif de -23 660 MXOF (-207 jours de CA) : l'actif immobilisé (101 423) excède les ressources stables (77 763).</w:t>
      </w:r>
    </w:p>
    <w:p>
      <w:pPr>
        <w:pStyle w:val="Heading3"/>
        <w:spacing w:after="100" w:before="200"/>
      </w:pPr>
      <w:r>
        <w:rPr>
          <w:rFonts w:ascii="Calibri" w:cs="Calibri" w:eastAsia="Calibri" w:hAnsi="Calibri"/>
          <w:b/>
          <w:bCs/>
          <w:color w:val="333333"/>
          <w:sz w:val="21"/>
          <w:szCs w:val="21"/>
        </w:rPr>
        <w:t xml:space="preserve">Le BFR négatif : une lecture à corriger</w:t>
      </w:r>
    </w:p>
    <w:p>
      <w:pPr>
        <w:spacing w:after="120" w:before="0" w:line="276"/>
      </w:pPr>
      <w:r>
        <w:rPr>
          <w:rFonts w:ascii="Calibri" w:cs="Calibri" w:eastAsia="Calibri" w:hAnsi="Calibri"/>
          <w:b w:val="false"/>
          <w:bCs w:val="false"/>
          <w:i w:val="false"/>
          <w:iCs w:val="false"/>
          <w:sz w:val="20"/>
          <w:szCs w:val="20"/>
        </w:rPr>
        <w:t xml:space="preserve">Le BFR est négatif de -17 514 MXOF (-153 jours), mais cette configuration n'est pas commerciale. La note 17 est explicite : fournisseurs hors groupe 45 123 MXOF, soit 96 % du poste, et « aucune dette intergroupe ni effet à payer groupe n'a été recensé sur l'exercice 2025 ». Le DPO ressort à 281 jours sur base achats — le CREDAPP retient 411 jours, calculés à tort sur le chiffre d'affaires.</w:t>
      </w:r>
    </w:p>
    <w:p>
      <w:pPr>
        <w:spacing w:after="120" w:before="0" w:line="276"/>
      </w:pPr>
      <w:r>
        <w:rPr>
          <w:rFonts w:ascii="Calibri" w:cs="Calibri" w:eastAsia="Calibri" w:hAnsi="Calibri"/>
          <w:b w:val="false"/>
          <w:bCs w:val="false"/>
          <w:i w:val="false"/>
          <w:iCs w:val="false"/>
          <w:sz w:val="20"/>
          <w:szCs w:val="20"/>
        </w:rPr>
        <w:t xml:space="preserve">La dette envers le groupe CCC est ailleurs, et bien plus modeste (note 19) :</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5867"/>
        <w:gridCol w:w="3159"/>
      </w:tblGrid>
      <w:tr>
        <w:trPr>
          <w:tblHeader/>
        </w:trPr>
        <w:tc>
          <w:tcPr>
            <w:tcW w:type="dxa" w:w="5867"/>
            <w:shd w:fill="1F3864" w:color="auto" w:val="clear"/>
            <w:tcMar>
              <w:top w:type="dxa" w:w="60"/>
              <w:left w:type="dxa" w:w="90"/>
              <w:bottom w:type="dxa" w:w="60"/>
              <w:right w:type="dxa" w:w="90"/>
            </w:tcMar>
          </w:tcPr>
          <w:p>
            <w:pPr>
              <w:spacing w:after="0" w:line="240"/>
            </w:pPr>
            <w:r>
              <w:rPr>
                <w:rFonts w:ascii="Calibri" w:cs="Calibri" w:eastAsia="Calibri" w:hAnsi="Calibri"/>
                <w:b/>
                <w:bCs/>
                <w:i w:val="false"/>
                <w:iCs w:val="false"/>
                <w:color w:val="FFFFFF"/>
                <w:sz w:val="18"/>
                <w:szCs w:val="18"/>
              </w:rPr>
              <w:t xml:space="preserve">Poste</w:t>
            </w:r>
          </w:p>
        </w:tc>
        <w:tc>
          <w:tcPr>
            <w:tcW w:type="dxa" w:w="3159"/>
            <w:shd w:fill="1F3864"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color w:val="FFFFFF"/>
                <w:sz w:val="18"/>
                <w:szCs w:val="18"/>
              </w:rPr>
              <w:t xml:space="preserve">Montant FCFA</w:t>
            </w:r>
          </w:p>
        </w:tc>
      </w:tr>
      <w:tr>
        <w:tc>
          <w:tcPr>
            <w:tcW w:type="dxa" w:w="5867"/>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Associés, compte courant (CCC) — échéance &gt; 2 ans, sans intérêts</w:t>
            </w:r>
          </w:p>
        </w:tc>
        <w:tc>
          <w:tcPr>
            <w:tcW w:type="dxa" w:w="3159"/>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8 020 201 084</w:t>
            </w:r>
          </w:p>
        </w:tc>
      </w:tr>
      <w:tr>
        <w:tc>
          <w:tcPr>
            <w:tcW w:type="dxa" w:w="5867"/>
            <w:shd w:fill="FAFAFA" w:color="auto" w:val="clear"/>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Créditeurs divers dont CCC</w:t>
            </w:r>
          </w:p>
        </w:tc>
        <w:tc>
          <w:tcPr>
            <w:tcW w:type="dxa" w:w="3159"/>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2 631 315 242</w:t>
            </w:r>
          </w:p>
        </w:tc>
      </w:tr>
      <w:tr>
        <w:tc>
          <w:tcPr>
            <w:tcW w:type="dxa" w:w="5867"/>
            <w:shd w:fill="F2F2F2" w:color="auto" w:val="clear"/>
            <w:tcMar>
              <w:top w:type="dxa" w:w="60"/>
              <w:left w:type="dxa" w:w="90"/>
              <w:bottom w:type="dxa" w:w="60"/>
              <w:right w:type="dxa" w:w="90"/>
            </w:tcMar>
          </w:tcPr>
          <w:p>
            <w:pPr>
              <w:spacing w:after="0" w:line="240"/>
            </w:pPr>
            <w:r>
              <w:rPr>
                <w:rFonts w:ascii="Calibri" w:cs="Calibri" w:eastAsia="Calibri" w:hAnsi="Calibri"/>
                <w:b/>
                <w:bCs/>
                <w:i w:val="false"/>
                <w:iCs w:val="false"/>
                <w:sz w:val="18"/>
                <w:szCs w:val="18"/>
              </w:rPr>
              <w:t xml:space="preserve">Total dette groupe CCC</w:t>
            </w:r>
          </w:p>
        </w:tc>
        <w:tc>
          <w:tcPr>
            <w:tcW w:type="dxa" w:w="3159"/>
            <w:shd w:fill="F2F2F2"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8"/>
                <w:szCs w:val="18"/>
              </w:rPr>
              <w:t xml:space="preserve">10 651 516 326</w:t>
            </w:r>
          </w:p>
        </w:tc>
      </w:tr>
    </w:tbl>
    <w:p>
      <w:pPr>
        <w:spacing w:after="120" w:before="0" w:line="276"/>
      </w:pPr>
      <w:r>
        <w:rPr>
          <w:rFonts w:ascii="Calibri" w:cs="Calibri" w:eastAsia="Calibri" w:hAnsi="Calibri"/>
          <w:b/>
          <w:bCs/>
          <w:i w:val="false"/>
          <w:iCs w:val="false"/>
          <w:sz w:val="20"/>
          <w:szCs w:val="20"/>
        </w:rPr>
        <w:t xml:space="preserve">Le risque est donc inverse de ce que suggère le CREDAPP : ce ne sont pas 42 GXOF portés par l'actionnaire, ce sont 45 GXOF de crédit fournisseur de tiers à moins d'un an, très vraisemblablement concentrés sur SITAPA. Un fournisseur tiers n'a aucune raison de patienter.</w:t>
      </w:r>
    </w:p>
    <w:p>
      <w:pPr>
        <w:spacing w:after="120" w:before="0" w:line="276"/>
      </w:pPr>
      <w:r>
        <w:rPr>
          <w:rFonts w:ascii="Calibri" w:cs="Calibri" w:eastAsia="Calibri" w:hAnsi="Calibri"/>
          <w:b w:val="false"/>
          <w:bCs w:val="false"/>
          <w:i w:val="false"/>
          <w:iCs w:val="false"/>
          <w:sz w:val="20"/>
          <w:szCs w:val="20"/>
        </w:rPr>
        <w:t xml:space="preserve">Liquidité générale 0,67 ; liquidité réduite hors stocks 0,25. Trésorerie nette -6 146 MXOF.</w:t>
      </w:r>
    </w:p>
    <w:p>
      <w:pPr>
        <w:pStyle w:val="Heading2"/>
        <w:spacing w:after="120" w:before="260"/>
      </w:pPr>
      <w:r>
        <w:rPr>
          <w:rFonts w:ascii="Calibri" w:cs="Calibri" w:eastAsia="Calibri" w:hAnsi="Calibri"/>
          <w:b/>
          <w:bCs/>
          <w:color w:val="1F3864"/>
          <w:sz w:val="23"/>
          <w:szCs w:val="23"/>
        </w:rPr>
        <w:t xml:space="preserve">4.3 Génération de trésorerie — le point dur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6318"/>
        <w:gridCol w:w="2708"/>
      </w:tblGrid>
      <w:tr>
        <w:trPr>
          <w:tblHeader/>
        </w:trPr>
        <w:tc>
          <w:tcPr>
            <w:tcW w:type="dxa" w:w="6318"/>
            <w:shd w:fill="1F3864" w:color="auto" w:val="clear"/>
            <w:tcMar>
              <w:top w:type="dxa" w:w="60"/>
              <w:left w:type="dxa" w:w="90"/>
              <w:bottom w:type="dxa" w:w="60"/>
              <w:right w:type="dxa" w:w="90"/>
            </w:tcMar>
          </w:tcPr>
          <w:p>
            <w:pPr>
              <w:spacing w:after="0" w:line="240"/>
            </w:pPr>
            <w:r>
              <w:rPr>
                <w:rFonts w:ascii="Calibri" w:cs="Calibri" w:eastAsia="Calibri" w:hAnsi="Calibri"/>
                <w:b/>
                <w:bCs/>
                <w:i w:val="false"/>
                <w:iCs w:val="false"/>
                <w:color w:val="FFFFFF"/>
                <w:sz w:val="18"/>
                <w:szCs w:val="18"/>
              </w:rPr>
              <w:t xml:space="preserve">Tableau des flux de trésorerie 2025</w:t>
            </w:r>
          </w:p>
        </w:tc>
        <w:tc>
          <w:tcPr>
            <w:tcW w:type="dxa" w:w="2708"/>
            <w:shd w:fill="1F3864"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color w:val="FFFFFF"/>
                <w:sz w:val="18"/>
                <w:szCs w:val="18"/>
              </w:rPr>
              <w:t xml:space="preserve">MXOF</w:t>
            </w:r>
          </w:p>
        </w:tc>
      </w:tr>
      <w:tr>
        <w:tc>
          <w:tcPr>
            <w:tcW w:type="dxa" w:w="6318"/>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Capacité d'autofinancement globale (CAFG)</w:t>
            </w:r>
          </w:p>
        </w:tc>
        <w:tc>
          <w:tcPr>
            <w:tcW w:type="dxa" w:w="2708"/>
            <w:tcMar>
              <w:top w:type="dxa" w:w="60"/>
              <w:left w:type="dxa" w:w="90"/>
              <w:bottom w:type="dxa" w:w="60"/>
              <w:right w:type="dxa" w:w="90"/>
            </w:tcMar>
          </w:tcPr>
          <w:p>
            <w:pPr>
              <w:spacing w:after="0" w:line="240"/>
              <w:jc w:val="center"/>
            </w:pPr>
            <w:r>
              <w:rPr>
                <w:rFonts w:ascii="Calibri" w:cs="Calibri" w:eastAsia="Calibri" w:hAnsi="Calibri"/>
                <w:b/>
                <w:bCs/>
                <w:i w:val="false"/>
                <w:iCs w:val="false"/>
                <w:color w:val="C00000"/>
                <w:sz w:val="18"/>
                <w:szCs w:val="18"/>
              </w:rPr>
              <w:t xml:space="preserve">-6 521</w:t>
            </w:r>
          </w:p>
        </w:tc>
      </w:tr>
      <w:tr>
        <w:tc>
          <w:tcPr>
            <w:tcW w:type="dxa" w:w="6318"/>
            <w:shd w:fill="FAFAFA" w:color="auto" w:val="clear"/>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Variation des stocks</w:t>
            </w:r>
          </w:p>
        </w:tc>
        <w:tc>
          <w:tcPr>
            <w:tcW w:type="dxa" w:w="2708"/>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-28 328</w:t>
            </w:r>
          </w:p>
        </w:tc>
      </w:tr>
      <w:tr>
        <w:tc>
          <w:tcPr>
            <w:tcW w:type="dxa" w:w="6318"/>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Variation des créances</w:t>
            </w:r>
          </w:p>
        </w:tc>
        <w:tc>
          <w:tcPr>
            <w:tcW w:type="dxa" w:w="2708"/>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-122</w:t>
            </w:r>
          </w:p>
        </w:tc>
      </w:tr>
      <w:tr>
        <w:tc>
          <w:tcPr>
            <w:tcW w:type="dxa" w:w="6318"/>
            <w:shd w:fill="FAFAFA" w:color="auto" w:val="clear"/>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Variation du passif circulant</w:t>
            </w:r>
          </w:p>
        </w:tc>
        <w:tc>
          <w:tcPr>
            <w:tcW w:type="dxa" w:w="2708"/>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+43 773</w:t>
            </w:r>
          </w:p>
        </w:tc>
      </w:tr>
      <w:tr>
        <w:tc>
          <w:tcPr>
            <w:tcW w:type="dxa" w:w="6318"/>
            <w:shd w:fill="F2F2F2" w:color="auto" w:val="clear"/>
            <w:tcMar>
              <w:top w:type="dxa" w:w="60"/>
              <w:left w:type="dxa" w:w="90"/>
              <w:bottom w:type="dxa" w:w="60"/>
              <w:right w:type="dxa" w:w="90"/>
            </w:tcMar>
          </w:tcPr>
          <w:p>
            <w:pPr>
              <w:spacing w:after="0" w:line="240"/>
            </w:pPr>
            <w:r>
              <w:rPr>
                <w:rFonts w:ascii="Calibri" w:cs="Calibri" w:eastAsia="Calibri" w:hAnsi="Calibri"/>
                <w:b/>
                <w:bCs/>
                <w:i w:val="false"/>
                <w:iCs w:val="false"/>
                <w:sz w:val="18"/>
                <w:szCs w:val="18"/>
              </w:rPr>
              <w:t xml:space="preserve">Flux de trésorerie opérationnel affiché</w:t>
            </w:r>
          </w:p>
        </w:tc>
        <w:tc>
          <w:tcPr>
            <w:tcW w:type="dxa" w:w="2708"/>
            <w:shd w:fill="F2F2F2"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8"/>
                <w:szCs w:val="18"/>
              </w:rPr>
              <w:t xml:space="preserve">+8 802</w:t>
            </w:r>
          </w:p>
        </w:tc>
      </w:tr>
      <w:tr>
        <w:tc>
          <w:tcPr>
            <w:tcW w:type="dxa" w:w="6318"/>
            <w:shd w:fill="F2F2F2" w:color="auto" w:val="clear"/>
            <w:tcMar>
              <w:top w:type="dxa" w:w="60"/>
              <w:left w:type="dxa" w:w="90"/>
              <w:bottom w:type="dxa" w:w="60"/>
              <w:right w:type="dxa" w:w="90"/>
            </w:tcMar>
          </w:tcPr>
          <w:p>
            <w:pPr>
              <w:spacing w:after="0" w:line="240"/>
            </w:pPr>
            <w:r>
              <w:rPr>
                <w:rFonts w:ascii="Calibri" w:cs="Calibri" w:eastAsia="Calibri" w:hAnsi="Calibri"/>
                <w:b/>
                <w:bCs/>
                <w:i w:val="false"/>
                <w:iCs w:val="false"/>
                <w:sz w:val="18"/>
                <w:szCs w:val="18"/>
              </w:rPr>
              <w:t xml:space="preserve">Flux opérationnel hors variation du passif circulant</w:t>
            </w:r>
          </w:p>
        </w:tc>
        <w:tc>
          <w:tcPr>
            <w:tcW w:type="dxa" w:w="2708"/>
            <w:shd w:fill="F2F2F2"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color w:val="C00000"/>
                <w:sz w:val="18"/>
                <w:szCs w:val="18"/>
              </w:rPr>
              <w:t xml:space="preserve">-34 971</w:t>
            </w:r>
          </w:p>
        </w:tc>
      </w:tr>
    </w:tbl>
    <w:p>
      <w:pPr>
        <w:spacing w:after="120" w:before="0" w:line="276"/>
      </w:pPr>
      <w:r>
        <w:rPr>
          <w:rFonts w:ascii="Calibri" w:cs="Calibri" w:eastAsia="Calibri" w:hAnsi="Calibri"/>
          <w:b/>
          <w:bCs/>
          <w:i w:val="false"/>
          <w:iCs w:val="false"/>
          <w:sz w:val="20"/>
          <w:szCs w:val="20"/>
        </w:rPr>
        <w:t xml:space="preserve">La CAFG est négative. Le service de la dette (2 989 MXOF remboursés) a été assuré par l'augmentation de capital, pas par l'exploitation. La contrepartie n'a aucune capacité de remboursement sur cash-flow en 2025.</w:t>
      </w:r>
    </w:p>
    <w:p>
      <w:pPr>
        <w:pBdr>
          <w:top w:val="single" w:color="D9D9D9" w:sz="2" w:space="6"/>
          <w:bottom w:val="single" w:color="D9D9D9" w:sz="2" w:space="6"/>
          <w:left w:val="single" w:color="1F3864" w:sz="18" w:space="10"/>
          <w:right w:val="single" w:color="D9D9D9" w:sz="2" w:space="6"/>
        </w:pBdr>
        <w:spacing w:after="160" w:before="120" w:line="264"/>
        <w:ind w:left="340" w:right="340"/>
      </w:pPr>
      <w:r>
        <w:rPr>
          <w:rFonts w:ascii="Calibri" w:cs="Calibri" w:eastAsia="Calibri" w:hAnsi="Calibri"/>
          <w:b w:val="false"/>
          <w:bCs w:val="false"/>
          <w:i/>
          <w:iCs/>
          <w:sz w:val="20"/>
          <w:szCs w:val="20"/>
        </w:rPr>
        <w:t xml:space="preserve">Précision de lecture indispensable : les flux d'investissement (-78 720 MXOF) et de capitaux propres (+71 921 MXOF) intègrent l'apport en nature en contrepartie fictive. Le capex décaissé réel 2025 est d'environ 5 GXOF, dont 4,6 sur les incorporels. Ces agrégats ne doivent jamais être cités bruts en comité.</w:t>
      </w:r>
    </w:p>
    <w:p>
      <w:pPr>
        <w:pStyle w:val="Heading2"/>
        <w:spacing w:after="120" w:before="260"/>
      </w:pPr>
      <w:r>
        <w:rPr>
          <w:rFonts w:ascii="Calibri" w:cs="Calibri" w:eastAsia="Calibri" w:hAnsi="Calibri"/>
          <w:b/>
          <w:bCs/>
          <w:color w:val="1F3864"/>
          <w:sz w:val="23"/>
          <w:szCs w:val="23"/>
        </w:rPr>
        <w:t xml:space="preserve">4.4 Stocks</w:t>
      </w:r>
    </w:p>
    <w:p>
      <w:pPr>
        <w:spacing w:after="120" w:before="0" w:line="276"/>
      </w:pPr>
      <w:r>
        <w:rPr>
          <w:rFonts w:ascii="Calibri" w:cs="Calibri" w:eastAsia="Calibri" w:hAnsi="Calibri"/>
          <w:b w:val="false"/>
          <w:bCs w:val="false"/>
          <w:i w:val="false"/>
          <w:iCs w:val="false"/>
          <w:sz w:val="20"/>
          <w:szCs w:val="20"/>
        </w:rPr>
        <w:t xml:space="preserve">30 442 MXOF, soit 266 jours de CA contre 20 jours en 2024, dont 18 631 de produits finis (+1 820 %) et 10 354 de matières premières (+2 290 %). Aucune dépréciation constatée — position examinée et acceptée par le commissaire aux comptes.</w:t>
      </w:r>
    </w:p>
    <w:p>
      <w:pPr>
        <w:spacing w:after="120" w:before="0" w:line="276"/>
      </w:pPr>
      <w:r>
        <w:rPr>
          <w:rFonts w:ascii="Calibri" w:cs="Calibri" w:eastAsia="Calibri" w:hAnsi="Calibri"/>
          <w:b w:val="false"/>
          <w:bCs w:val="false"/>
          <w:i w:val="false"/>
          <w:iCs w:val="false"/>
          <w:sz w:val="20"/>
          <w:szCs w:val="20"/>
        </w:rPr>
        <w:t xml:space="preserve">Deux observations subsistent malgré la certification :</w:t>
      </w:r>
    </w:p>
    <w:p>
      <w:pPr>
        <w:pStyle w:val="ListParagraph"/>
        <w:numPr>
          <w:ilvl w:val="0"/>
          <w:numId w:val="2"/>
        </w:numPr>
        <w:spacing w:after="80" w:line="264"/>
      </w:pPr>
      <w:r>
        <w:rPr>
          <w:rFonts w:ascii="Calibri" w:cs="Calibri" w:eastAsia="Calibri" w:hAnsi="Calibri"/>
          <w:b w:val="false"/>
          <w:bCs w:val="false"/>
          <w:i w:val="false"/>
          <w:iCs w:val="false"/>
          <w:sz w:val="20"/>
          <w:szCs w:val="20"/>
        </w:rPr>
        <w:t xml:space="preserve">La liasse indique le coût moyen pondéré en note 2 et le FIFO en note 6 pour les produits finis. Sur un exercice où le prix de la fève a été divisé par plus de deux, l'écart entre méthodes est massif, le FIFO conduisant à la valorisation la plus élevée.</w:t>
      </w:r>
    </w:p>
    <w:p>
      <w:pPr>
        <w:pStyle w:val="ListParagraph"/>
        <w:numPr>
          <w:ilvl w:val="0"/>
          <w:numId w:val="2"/>
        </w:numPr>
        <w:spacing w:after="80" w:line="264"/>
      </w:pPr>
      <w:r>
        <w:rPr>
          <w:rFonts w:ascii="Calibri" w:cs="Calibri" w:eastAsia="Calibri" w:hAnsi="Calibri"/>
          <w:b w:val="false"/>
          <w:bCs w:val="false"/>
          <w:i w:val="false"/>
          <w:iCs w:val="false"/>
          <w:sz w:val="20"/>
          <w:szCs w:val="20"/>
        </w:rPr>
        <w:t xml:space="preserve">Le stock a été constitué à 2 800 F/kg contre un prix de vente 2026 retenu à 2 559 F/kg : la valeur nette de réalisation n'est supérieure au coût que si les soutiens CCC attendus sont intégrés.</w:t>
      </w:r>
    </w:p>
    <w:p>
      <w:pPr>
        <w:spacing w:after="120" w:before="0" w:line="276"/>
      </w:pPr>
      <w:r>
        <w:rPr>
          <w:rFonts w:ascii="Calibri" w:cs="Calibri" w:eastAsia="Calibri" w:hAnsi="Calibri"/>
          <w:b w:val="false"/>
          <w:bCs w:val="false"/>
          <w:i w:val="false"/>
          <w:iCs w:val="false"/>
          <w:sz w:val="20"/>
          <w:szCs w:val="20"/>
        </w:rPr>
        <w:t xml:space="preserve">La note 38 — événements postérieurs à la clôture — est cochée applicable en fiche R4 mais absente de la liasse transmise. C'est elle qui traiterait l'effondrement des cours de décembre 2025.</w:t>
      </w:r>
    </w:p>
    <w:p>
      <w:pPr>
        <w:pStyle w:val="Heading2"/>
        <w:spacing w:after="120" w:before="260"/>
      </w:pPr>
      <w:r>
        <w:rPr>
          <w:rFonts w:ascii="Calibri" w:cs="Calibri" w:eastAsia="Calibri" w:hAnsi="Calibri"/>
          <w:b/>
          <w:bCs/>
          <w:color w:val="1F3864"/>
          <w:sz w:val="23"/>
          <w:szCs w:val="23"/>
        </w:rPr>
        <w:t xml:space="preserve">4.5 Risque fiscal</w:t>
      </w:r>
    </w:p>
    <w:p>
      <w:pPr>
        <w:spacing w:after="120" w:before="0" w:line="276"/>
      </w:pPr>
      <w:r>
        <w:rPr>
          <w:rFonts w:ascii="Calibri" w:cs="Calibri" w:eastAsia="Calibri" w:hAnsi="Calibri"/>
          <w:b w:val="false"/>
          <w:bCs w:val="false"/>
          <w:i w:val="false"/>
          <w:iCs w:val="false"/>
          <w:sz w:val="20"/>
          <w:szCs w:val="20"/>
        </w:rPr>
        <w:t xml:space="preserve">Note 28 : 4 768 731 717 FCFA de provision pour risques à court terme d'exploitation, « relative au Contrôle Fiscal portant sur la période 2022-2023 ».</w:t>
      </w:r>
    </w:p>
    <w:p>
      <w:pPr>
        <w:spacing w:after="120" w:before="0" w:line="276"/>
      </w:pPr>
      <w:r>
        <w:rPr>
          <w:rFonts w:ascii="Calibri" w:cs="Calibri" w:eastAsia="Calibri" w:hAnsi="Calibri"/>
          <w:b/>
          <w:bCs/>
          <w:i w:val="false"/>
          <w:iCs w:val="false"/>
          <w:sz w:val="20"/>
          <w:szCs w:val="20"/>
        </w:rPr>
        <w:t xml:space="preserve">Ce n'est pas un risque diffus : c'est un redressement notifié, provisionné à court terme, soit 32 % de l'exposition demandée, potentiellement exigible pendant la durée de nos concours. Le CREDAPP n'en fait aucune mention.</w:t>
      </w:r>
    </w:p>
    <w:p>
      <w:pPr>
        <w:pStyle w:val="Heading1"/>
        <w:spacing w:after="160" w:before="320"/>
      </w:pPr>
      <w:r>
        <w:rPr>
          <w:rFonts w:ascii="Calibri" w:cs="Calibri" w:eastAsia="Calibri" w:hAnsi="Calibri"/>
          <w:b/>
          <w:bCs/>
          <w:color w:val="1F3864"/>
          <w:sz w:val="28"/>
          <w:szCs w:val="28"/>
        </w:rPr>
        <w:t xml:space="preserve">5. Tableau financier et ratios</w:t>
      </w:r>
    </w:p>
    <w:p>
      <w:pPr>
        <w:spacing w:after="120" w:before="0" w:line="276"/>
      </w:pPr>
      <w:r>
        <w:rPr>
          <w:rFonts w:ascii="Calibri" w:cs="Calibri" w:eastAsia="Calibri" w:hAnsi="Calibri"/>
          <w:b w:val="false"/>
          <w:bCs w:val="false"/>
          <w:i/>
          <w:iCs/>
          <w:sz w:val="18"/>
          <w:szCs w:val="18"/>
        </w:rPr>
        <w:t xml:space="preserve">Monnaie XOF / Milliers / Audité</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611"/>
        <w:gridCol w:w="1805"/>
        <w:gridCol w:w="1805"/>
        <w:gridCol w:w="1805"/>
      </w:tblGrid>
      <w:tr>
        <w:trPr>
          <w:tblHeader/>
        </w:trPr>
        <w:tc>
          <w:tcPr>
            <w:tcW w:type="dxa" w:w="3611"/>
            <w:shd w:fill="1F3864" w:color="auto" w:val="clear"/>
            <w:tcMar>
              <w:top w:type="dxa" w:w="60"/>
              <w:left w:type="dxa" w:w="90"/>
              <w:bottom w:type="dxa" w:w="60"/>
              <w:right w:type="dxa" w:w="90"/>
            </w:tcMar>
          </w:tcPr>
          <w:p>
            <w:pPr>
              <w:spacing w:after="0" w:line="240"/>
            </w:pPr>
            <w:r>
              <w:rPr>
                <w:rFonts w:ascii="Calibri" w:cs="Calibri" w:eastAsia="Calibri" w:hAnsi="Calibri"/>
                <w:b/>
                <w:bCs/>
                <w:i w:val="false"/>
                <w:iCs w:val="false"/>
                <w:color w:val="FFFFFF"/>
                <w:sz w:val="18"/>
                <w:szCs w:val="18"/>
              </w:rPr>
              <w:t xml:space="preserve"/>
            </w:r>
          </w:p>
        </w:tc>
        <w:tc>
          <w:tcPr>
            <w:tcW w:type="dxa" w:w="1805"/>
            <w:shd w:fill="1F3864"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color w:val="FFFFFF"/>
                <w:sz w:val="18"/>
                <w:szCs w:val="18"/>
              </w:rPr>
              <w:t xml:space="preserve">31/12/2024</w:t>
            </w:r>
          </w:p>
        </w:tc>
        <w:tc>
          <w:tcPr>
            <w:tcW w:type="dxa" w:w="1805"/>
            <w:shd w:fill="1F3864"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color w:val="FFFFFF"/>
                <w:sz w:val="18"/>
                <w:szCs w:val="18"/>
              </w:rPr>
              <w:t xml:space="preserve">31/12/2025</w:t>
            </w:r>
          </w:p>
        </w:tc>
        <w:tc>
          <w:tcPr>
            <w:tcW w:type="dxa" w:w="1805"/>
            <w:shd w:fill="1F3864"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color w:val="FFFFFF"/>
                <w:sz w:val="18"/>
                <w:szCs w:val="18"/>
              </w:rPr>
              <w:t xml:space="preserve">%Δ</w:t>
            </w:r>
          </w:p>
        </w:tc>
      </w:tr>
      <w:tr>
        <w:tc>
          <w:tcPr>
            <w:tcW w:type="dxa" w:w="3611"/>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Total Bilan</w:t>
            </w:r>
          </w:p>
        </w:tc>
        <w:tc>
          <w:tcPr>
            <w:tcW w:type="dxa" w:w="1805"/>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52 931 563</w:t>
            </w:r>
          </w:p>
        </w:tc>
        <w:tc>
          <w:tcPr>
            <w:tcW w:type="dxa" w:w="1805"/>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149 489 976</w:t>
            </w:r>
          </w:p>
        </w:tc>
        <w:tc>
          <w:tcPr>
            <w:tcW w:type="dxa" w:w="1805"/>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+182,4 %</w:t>
            </w:r>
          </w:p>
        </w:tc>
      </w:tr>
      <w:tr>
        <w:tc>
          <w:tcPr>
            <w:tcW w:type="dxa" w:w="3611"/>
            <w:shd w:fill="FAFAFA" w:color="auto" w:val="clear"/>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Immobilisations Corporelles Nettes</w:t>
            </w:r>
          </w:p>
        </w:tc>
        <w:tc>
          <w:tcPr>
            <w:tcW w:type="dxa" w:w="1805"/>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27 112 613</w:t>
            </w:r>
          </w:p>
        </w:tc>
        <w:tc>
          <w:tcPr>
            <w:tcW w:type="dxa" w:w="1805"/>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95 170 089</w:t>
            </w:r>
          </w:p>
        </w:tc>
        <w:tc>
          <w:tcPr>
            <w:tcW w:type="dxa" w:w="1805"/>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+251,0 %</w:t>
            </w:r>
          </w:p>
        </w:tc>
      </w:tr>
      <w:tr>
        <w:tc>
          <w:tcPr>
            <w:tcW w:type="dxa" w:w="3611"/>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Ressources Propres</w:t>
            </w:r>
          </w:p>
        </w:tc>
        <w:tc>
          <w:tcPr>
            <w:tcW w:type="dxa" w:w="1805"/>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3 412 999</w:t>
            </w:r>
          </w:p>
        </w:tc>
        <w:tc>
          <w:tcPr>
            <w:tcW w:type="dxa" w:w="1805"/>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62 321 790</w:t>
            </w:r>
          </w:p>
        </w:tc>
        <w:tc>
          <w:tcPr>
            <w:tcW w:type="dxa" w:w="1805"/>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+1 726,0 %</w:t>
            </w:r>
          </w:p>
        </w:tc>
      </w:tr>
      <w:tr>
        <w:tc>
          <w:tcPr>
            <w:tcW w:type="dxa" w:w="3611"/>
            <w:shd w:fill="F2F2F2" w:color="auto" w:val="clear"/>
            <w:tcMar>
              <w:top w:type="dxa" w:w="60"/>
              <w:left w:type="dxa" w:w="90"/>
              <w:bottom w:type="dxa" w:w="60"/>
              <w:right w:type="dxa" w:w="90"/>
            </w:tcMar>
          </w:tcPr>
          <w:p>
            <w:pPr>
              <w:spacing w:after="0" w:line="240"/>
            </w:pPr>
            <w:r>
              <w:rPr>
                <w:rFonts w:ascii="Calibri" w:cs="Calibri" w:eastAsia="Calibri" w:hAnsi="Calibri"/>
                <w:b/>
                <w:bCs/>
                <w:i w:val="false"/>
                <w:iCs w:val="false"/>
                <w:sz w:val="18"/>
                <w:szCs w:val="18"/>
              </w:rPr>
              <w:t xml:space="preserve">Total endettement financier brut</w:t>
            </w:r>
          </w:p>
        </w:tc>
        <w:tc>
          <w:tcPr>
            <w:tcW w:type="dxa" w:w="1805"/>
            <w:shd w:fill="F2F2F2"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8"/>
                <w:szCs w:val="18"/>
              </w:rPr>
              <w:t xml:space="preserve">29 224 856</w:t>
            </w:r>
          </w:p>
        </w:tc>
        <w:tc>
          <w:tcPr>
            <w:tcW w:type="dxa" w:w="1805"/>
            <w:shd w:fill="F2F2F2"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8"/>
                <w:szCs w:val="18"/>
              </w:rPr>
              <w:t xml:space="preserve">23 088 621</w:t>
            </w:r>
          </w:p>
        </w:tc>
        <w:tc>
          <w:tcPr>
            <w:tcW w:type="dxa" w:w="1805"/>
            <w:shd w:fill="F2F2F2"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8"/>
                <w:szCs w:val="18"/>
              </w:rPr>
              <w:t xml:space="preserve">-21,0 %</w:t>
            </w:r>
          </w:p>
        </w:tc>
      </w:tr>
      <w:tr>
        <w:tc>
          <w:tcPr>
            <w:tcW w:type="dxa" w:w="3611"/>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Chiffre d'affaires</w:t>
            </w:r>
          </w:p>
        </w:tc>
        <w:tc>
          <w:tcPr>
            <w:tcW w:type="dxa" w:w="1805"/>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38 284 511</w:t>
            </w:r>
          </w:p>
        </w:tc>
        <w:tc>
          <w:tcPr>
            <w:tcW w:type="dxa" w:w="1805"/>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41 779 807</w:t>
            </w:r>
          </w:p>
        </w:tc>
        <w:tc>
          <w:tcPr>
            <w:tcW w:type="dxa" w:w="1805"/>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+9,1 %</w:t>
            </w:r>
          </w:p>
        </w:tc>
      </w:tr>
      <w:tr>
        <w:tc>
          <w:tcPr>
            <w:tcW w:type="dxa" w:w="3611"/>
            <w:shd w:fill="FAFAFA" w:color="auto" w:val="clear"/>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Excédent brut d'exploitation</w:t>
            </w:r>
          </w:p>
        </w:tc>
        <w:tc>
          <w:tcPr>
            <w:tcW w:type="dxa" w:w="1805"/>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6 297 667</w:t>
            </w:r>
          </w:p>
        </w:tc>
        <w:tc>
          <w:tcPr>
            <w:tcW w:type="dxa" w:w="1805"/>
            <w:shd w:fill="FAFAFA"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color w:val="C00000"/>
                <w:sz w:val="18"/>
                <w:szCs w:val="18"/>
              </w:rPr>
              <w:t xml:space="preserve">-5 073 604</w:t>
            </w:r>
          </w:p>
        </w:tc>
        <w:tc>
          <w:tcPr>
            <w:tcW w:type="dxa" w:w="1805"/>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-180,6 %</w:t>
            </w:r>
          </w:p>
        </w:tc>
      </w:tr>
      <w:tr>
        <w:tc>
          <w:tcPr>
            <w:tcW w:type="dxa" w:w="3611"/>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Frais financiers</w:t>
            </w:r>
          </w:p>
        </w:tc>
        <w:tc>
          <w:tcPr>
            <w:tcW w:type="dxa" w:w="1805"/>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1 822 831</w:t>
            </w:r>
          </w:p>
        </w:tc>
        <w:tc>
          <w:tcPr>
            <w:tcW w:type="dxa" w:w="1805"/>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1 484 739</w:t>
            </w:r>
          </w:p>
        </w:tc>
        <w:tc>
          <w:tcPr>
            <w:tcW w:type="dxa" w:w="1805"/>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-18,5 %</w:t>
            </w:r>
          </w:p>
        </w:tc>
      </w:tr>
      <w:tr>
        <w:tc>
          <w:tcPr>
            <w:tcW w:type="dxa" w:w="3611"/>
            <w:shd w:fill="FAFAFA" w:color="auto" w:val="clear"/>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Résultat net</w:t>
            </w:r>
          </w:p>
        </w:tc>
        <w:tc>
          <w:tcPr>
            <w:tcW w:type="dxa" w:w="1805"/>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3 788 744</w:t>
            </w:r>
          </w:p>
        </w:tc>
        <w:tc>
          <w:tcPr>
            <w:tcW w:type="dxa" w:w="1805"/>
            <w:shd w:fill="FAFAFA"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color w:val="C00000"/>
                <w:sz w:val="18"/>
                <w:szCs w:val="18"/>
              </w:rPr>
              <w:t xml:space="preserve">-13 012 291</w:t>
            </w:r>
          </w:p>
        </w:tc>
        <w:tc>
          <w:tcPr>
            <w:tcW w:type="dxa" w:w="1805"/>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-443,4 %</w:t>
            </w:r>
          </w:p>
        </w:tc>
      </w:tr>
      <w:tr>
        <w:tc>
          <w:tcPr>
            <w:tcW w:type="dxa" w:w="3611"/>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Marge brute d'autofinancement</w:t>
            </w:r>
          </w:p>
        </w:tc>
        <w:tc>
          <w:tcPr>
            <w:tcW w:type="dxa" w:w="1805"/>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4 347 324</w:t>
            </w:r>
          </w:p>
        </w:tc>
        <w:tc>
          <w:tcPr>
            <w:tcW w:type="dxa" w:w="1805"/>
            <w:tcMar>
              <w:top w:type="dxa" w:w="60"/>
              <w:left w:type="dxa" w:w="90"/>
              <w:bottom w:type="dxa" w:w="60"/>
              <w:right w:type="dxa" w:w="90"/>
            </w:tcMar>
          </w:tcPr>
          <w:p>
            <w:pPr>
              <w:spacing w:after="0" w:line="240"/>
              <w:jc w:val="center"/>
            </w:pPr>
            <w:r>
              <w:rPr>
                <w:rFonts w:ascii="Calibri" w:cs="Calibri" w:eastAsia="Calibri" w:hAnsi="Calibri"/>
                <w:b/>
                <w:bCs/>
                <w:i w:val="false"/>
                <w:iCs w:val="false"/>
                <w:color w:val="C00000"/>
                <w:sz w:val="18"/>
                <w:szCs w:val="18"/>
              </w:rPr>
              <w:t xml:space="preserve">-6 592 306</w:t>
            </w:r>
          </w:p>
        </w:tc>
        <w:tc>
          <w:tcPr>
            <w:tcW w:type="dxa" w:w="1805"/>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-251,6 %</w:t>
            </w:r>
          </w:p>
        </w:tc>
      </w:tr>
      <w:tr>
        <w:tc>
          <w:tcPr>
            <w:tcW w:type="dxa" w:w="3611"/>
            <w:shd w:fill="FAFAFA" w:color="auto" w:val="clear"/>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Fonds de roulement</w:t>
            </w:r>
          </w:p>
        </w:tc>
        <w:tc>
          <w:tcPr>
            <w:tcW w:type="dxa" w:w="1805"/>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-8 218 796</w:t>
            </w:r>
          </w:p>
        </w:tc>
        <w:tc>
          <w:tcPr>
            <w:tcW w:type="dxa" w:w="1805"/>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-23 660 305</w:t>
            </w:r>
          </w:p>
        </w:tc>
        <w:tc>
          <w:tcPr>
            <w:tcW w:type="dxa" w:w="1805"/>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-187,9 %</w:t>
            </w:r>
          </w:p>
        </w:tc>
      </w:tr>
      <w:tr>
        <w:tc>
          <w:tcPr>
            <w:tcW w:type="dxa" w:w="3611"/>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Besoin en fonds de roulement</w:t>
            </w:r>
          </w:p>
        </w:tc>
        <w:tc>
          <w:tcPr>
            <w:tcW w:type="dxa" w:w="1805"/>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-3 058 351</w:t>
            </w:r>
          </w:p>
        </w:tc>
        <w:tc>
          <w:tcPr>
            <w:tcW w:type="dxa" w:w="1805"/>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-17 514 187</w:t>
            </w:r>
          </w:p>
        </w:tc>
        <w:tc>
          <w:tcPr>
            <w:tcW w:type="dxa" w:w="1805"/>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-472,7 %</w:t>
            </w:r>
          </w:p>
        </w:tc>
      </w:tr>
      <w:tr>
        <w:tc>
          <w:tcPr>
            <w:tcW w:type="dxa" w:w="3611"/>
            <w:shd w:fill="FAFAFA" w:color="auto" w:val="clear"/>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Trésorerie nette</w:t>
            </w:r>
          </w:p>
        </w:tc>
        <w:tc>
          <w:tcPr>
            <w:tcW w:type="dxa" w:w="1805"/>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-5 160 445</w:t>
            </w:r>
          </w:p>
        </w:tc>
        <w:tc>
          <w:tcPr>
            <w:tcW w:type="dxa" w:w="1805"/>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-6 146 118</w:t>
            </w:r>
          </w:p>
        </w:tc>
        <w:tc>
          <w:tcPr>
            <w:tcW w:type="dxa" w:w="1805"/>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+19,1 %</w:t>
            </w:r>
          </w:p>
        </w:tc>
      </w:tr>
    </w:tbl>
    <w:p>
      <w:pPr>
        <w:spacing w:after="100"/>
      </w:pP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4152"/>
        <w:gridCol w:w="2166"/>
        <w:gridCol w:w="2708"/>
      </w:tblGrid>
      <w:tr>
        <w:trPr>
          <w:tblHeader/>
        </w:trPr>
        <w:tc>
          <w:tcPr>
            <w:tcW w:type="dxa" w:w="4152"/>
            <w:shd w:fill="1F3864" w:color="auto" w:val="clear"/>
            <w:tcMar>
              <w:top w:type="dxa" w:w="60"/>
              <w:left w:type="dxa" w:w="90"/>
              <w:bottom w:type="dxa" w:w="60"/>
              <w:right w:type="dxa" w:w="90"/>
            </w:tcMar>
          </w:tcPr>
          <w:p>
            <w:pPr>
              <w:spacing w:after="0" w:line="240"/>
            </w:pPr>
            <w:r>
              <w:rPr>
                <w:rFonts w:ascii="Calibri" w:cs="Calibri" w:eastAsia="Calibri" w:hAnsi="Calibri"/>
                <w:b/>
                <w:bCs/>
                <w:i w:val="false"/>
                <w:iCs w:val="false"/>
                <w:color w:val="FFFFFF"/>
                <w:sz w:val="18"/>
                <w:szCs w:val="18"/>
              </w:rPr>
              <w:t xml:space="preserve">Ratios</w:t>
            </w:r>
          </w:p>
        </w:tc>
        <w:tc>
          <w:tcPr>
            <w:tcW w:type="dxa" w:w="2166"/>
            <w:shd w:fill="1F3864"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color w:val="FFFFFF"/>
                <w:sz w:val="18"/>
                <w:szCs w:val="18"/>
              </w:rPr>
              <w:t xml:space="preserve">2024</w:t>
            </w:r>
          </w:p>
        </w:tc>
        <w:tc>
          <w:tcPr>
            <w:tcW w:type="dxa" w:w="2708"/>
            <w:shd w:fill="1F3864"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color w:val="FFFFFF"/>
                <w:sz w:val="18"/>
                <w:szCs w:val="18"/>
              </w:rPr>
              <w:t xml:space="preserve">2025</w:t>
            </w:r>
          </w:p>
        </w:tc>
      </w:tr>
      <w:tr>
        <w:tc>
          <w:tcPr>
            <w:tcW w:type="dxa" w:w="4152"/>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Ressources Propres / Total Bilan</w:t>
            </w:r>
          </w:p>
        </w:tc>
        <w:tc>
          <w:tcPr>
            <w:tcW w:type="dxa" w:w="2166"/>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6,4 %</w:t>
            </w:r>
          </w:p>
        </w:tc>
        <w:tc>
          <w:tcPr>
            <w:tcW w:type="dxa" w:w="2708"/>
            <w:tcMar>
              <w:top w:type="dxa" w:w="60"/>
              <w:left w:type="dxa" w:w="90"/>
              <w:bottom w:type="dxa" w:w="60"/>
              <w:right w:type="dxa" w:w="90"/>
            </w:tcMar>
          </w:tcPr>
          <w:p>
            <w:pPr>
              <w:spacing w:after="0" w:line="240"/>
              <w:jc w:val="center"/>
            </w:pPr>
            <w:r>
              <w:rPr>
                <w:rFonts w:ascii="Calibri" w:cs="Calibri" w:eastAsia="Calibri" w:hAnsi="Calibri"/>
                <w:b/>
                <w:bCs/>
                <w:i w:val="false"/>
                <w:iCs w:val="false"/>
                <w:sz w:val="18"/>
                <w:szCs w:val="18"/>
              </w:rPr>
              <w:t xml:space="preserve">41,7 %</w:t>
            </w:r>
          </w:p>
        </w:tc>
      </w:tr>
      <w:tr>
        <w:tc>
          <w:tcPr>
            <w:tcW w:type="dxa" w:w="4152"/>
            <w:shd w:fill="FAFAFA" w:color="auto" w:val="clear"/>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Endettement financier brut / RP (Gearing)</w:t>
            </w:r>
          </w:p>
        </w:tc>
        <w:tc>
          <w:tcPr>
            <w:tcW w:type="dxa" w:w="2166"/>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8,56 x</w:t>
            </w:r>
          </w:p>
        </w:tc>
        <w:tc>
          <w:tcPr>
            <w:tcW w:type="dxa" w:w="2708"/>
            <w:shd w:fill="FAFAFA"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8"/>
                <w:szCs w:val="18"/>
              </w:rPr>
              <w:t xml:space="preserve">0,37 x</w:t>
            </w:r>
          </w:p>
        </w:tc>
      </w:tr>
      <w:tr>
        <w:tc>
          <w:tcPr>
            <w:tcW w:type="dxa" w:w="4152"/>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Endettement financier brut / EBE (Leverage)</w:t>
            </w:r>
          </w:p>
        </w:tc>
        <w:tc>
          <w:tcPr>
            <w:tcW w:type="dxa" w:w="2166"/>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4,64 x</w:t>
            </w:r>
          </w:p>
        </w:tc>
        <w:tc>
          <w:tcPr>
            <w:tcW w:type="dxa" w:w="2708"/>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n.s. (EBE &lt; 0)</w:t>
            </w:r>
          </w:p>
        </w:tc>
      </w:tr>
      <w:tr>
        <w:tc>
          <w:tcPr>
            <w:tcW w:type="dxa" w:w="4152"/>
            <w:shd w:fill="FAFAFA" w:color="auto" w:val="clear"/>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EBE / CA</w:t>
            </w:r>
          </w:p>
        </w:tc>
        <w:tc>
          <w:tcPr>
            <w:tcW w:type="dxa" w:w="2166"/>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16,4 %</w:t>
            </w:r>
          </w:p>
        </w:tc>
        <w:tc>
          <w:tcPr>
            <w:tcW w:type="dxa" w:w="2708"/>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-12,1 % — retraité +26,4 %</w:t>
            </w:r>
          </w:p>
        </w:tc>
      </w:tr>
      <w:tr>
        <w:tc>
          <w:tcPr>
            <w:tcW w:type="dxa" w:w="4152"/>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EBE / Frais financiers</w:t>
            </w:r>
          </w:p>
        </w:tc>
        <w:tc>
          <w:tcPr>
            <w:tcW w:type="dxa" w:w="2166"/>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3,45 x</w:t>
            </w:r>
          </w:p>
        </w:tc>
        <w:tc>
          <w:tcPr>
            <w:tcW w:type="dxa" w:w="2708"/>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n.s. — retraité 7,4 x</w:t>
            </w:r>
          </w:p>
        </w:tc>
      </w:tr>
      <w:tr>
        <w:tc>
          <w:tcPr>
            <w:tcW w:type="dxa" w:w="4152"/>
            <w:shd w:fill="FAFAFA" w:color="auto" w:val="clear"/>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Résultat net / CA</w:t>
            </w:r>
          </w:p>
        </w:tc>
        <w:tc>
          <w:tcPr>
            <w:tcW w:type="dxa" w:w="2166"/>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9,9 %</w:t>
            </w:r>
          </w:p>
        </w:tc>
        <w:tc>
          <w:tcPr>
            <w:tcW w:type="dxa" w:w="2708"/>
            <w:shd w:fill="FAFAFA"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color w:val="C00000"/>
                <w:sz w:val="18"/>
                <w:szCs w:val="18"/>
              </w:rPr>
              <w:t xml:space="preserve">-31,1 %</w:t>
            </w:r>
          </w:p>
        </w:tc>
      </w:tr>
    </w:tbl>
    <w:p>
      <w:pPr>
        <w:spacing w:after="100"/>
      </w:pP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4152"/>
        <w:gridCol w:w="2437"/>
        <w:gridCol w:w="2437"/>
      </w:tblGrid>
      <w:tr>
        <w:trPr>
          <w:tblHeader/>
        </w:trPr>
        <w:tc>
          <w:tcPr>
            <w:tcW w:type="dxa" w:w="4152"/>
            <w:shd w:fill="1F3864" w:color="auto" w:val="clear"/>
            <w:tcMar>
              <w:top w:type="dxa" w:w="60"/>
              <w:left w:type="dxa" w:w="90"/>
              <w:bottom w:type="dxa" w:w="60"/>
              <w:right w:type="dxa" w:w="90"/>
            </w:tcMar>
          </w:tcPr>
          <w:p>
            <w:pPr>
              <w:spacing w:after="0" w:line="240"/>
            </w:pPr>
            <w:r>
              <w:rPr>
                <w:rFonts w:ascii="Calibri" w:cs="Calibri" w:eastAsia="Calibri" w:hAnsi="Calibri"/>
                <w:b/>
                <w:bCs/>
                <w:i w:val="false"/>
                <w:iCs w:val="false"/>
                <w:color w:val="FFFFFF"/>
                <w:sz w:val="18"/>
                <w:szCs w:val="18"/>
              </w:rPr>
              <w:t xml:space="preserve">Analyse du BFR</w:t>
            </w:r>
          </w:p>
        </w:tc>
        <w:tc>
          <w:tcPr>
            <w:tcW w:type="dxa" w:w="2437"/>
            <w:shd w:fill="1F3864"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color w:val="FFFFFF"/>
                <w:sz w:val="18"/>
                <w:szCs w:val="18"/>
              </w:rPr>
              <w:t xml:space="preserve">2024</w:t>
            </w:r>
          </w:p>
        </w:tc>
        <w:tc>
          <w:tcPr>
            <w:tcW w:type="dxa" w:w="2437"/>
            <w:shd w:fill="1F3864"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color w:val="FFFFFF"/>
                <w:sz w:val="18"/>
                <w:szCs w:val="18"/>
              </w:rPr>
              <w:t xml:space="preserve">2025</w:t>
            </w:r>
          </w:p>
        </w:tc>
      </w:tr>
      <w:tr>
        <w:tc>
          <w:tcPr>
            <w:tcW w:type="dxa" w:w="4152"/>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Stocks / CA × 365</w:t>
            </w:r>
          </w:p>
        </w:tc>
        <w:tc>
          <w:tcPr>
            <w:tcW w:type="dxa" w:w="2437"/>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20 j</w:t>
            </w:r>
          </w:p>
        </w:tc>
        <w:tc>
          <w:tcPr>
            <w:tcW w:type="dxa" w:w="2437"/>
            <w:tcMar>
              <w:top w:type="dxa" w:w="60"/>
              <w:left w:type="dxa" w:w="90"/>
              <w:bottom w:type="dxa" w:w="60"/>
              <w:right w:type="dxa" w:w="90"/>
            </w:tcMar>
          </w:tcPr>
          <w:p>
            <w:pPr>
              <w:spacing w:after="0" w:line="240"/>
              <w:jc w:val="center"/>
            </w:pPr>
            <w:r>
              <w:rPr>
                <w:rFonts w:ascii="Calibri" w:cs="Calibri" w:eastAsia="Calibri" w:hAnsi="Calibri"/>
                <w:b/>
                <w:bCs/>
                <w:i w:val="false"/>
                <w:iCs w:val="false"/>
                <w:color w:val="C00000"/>
                <w:sz w:val="18"/>
                <w:szCs w:val="18"/>
              </w:rPr>
              <w:t xml:space="preserve">266 j</w:t>
            </w:r>
          </w:p>
        </w:tc>
      </w:tr>
      <w:tr>
        <w:tc>
          <w:tcPr>
            <w:tcW w:type="dxa" w:w="4152"/>
            <w:shd w:fill="FAFAFA" w:color="auto" w:val="clear"/>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Comptes clients / CA × 365</w:t>
            </w:r>
          </w:p>
        </w:tc>
        <w:tc>
          <w:tcPr>
            <w:tcW w:type="dxa" w:w="2437"/>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99 j</w:t>
            </w:r>
          </w:p>
        </w:tc>
        <w:tc>
          <w:tcPr>
            <w:tcW w:type="dxa" w:w="2437"/>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86 j</w:t>
            </w:r>
          </w:p>
        </w:tc>
      </w:tr>
      <w:tr>
        <w:tc>
          <w:tcPr>
            <w:tcW w:type="dxa" w:w="4152"/>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Comptes fournisseurs / CA × 365</w:t>
            </w:r>
          </w:p>
        </w:tc>
        <w:tc>
          <w:tcPr>
            <w:tcW w:type="dxa" w:w="2437"/>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121 j</w:t>
            </w:r>
          </w:p>
        </w:tc>
        <w:tc>
          <w:tcPr>
            <w:tcW w:type="dxa" w:w="2437"/>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411 j</w:t>
            </w:r>
          </w:p>
        </w:tc>
      </w:tr>
      <w:tr>
        <w:tc>
          <w:tcPr>
            <w:tcW w:type="dxa" w:w="4152"/>
            <w:shd w:fill="FAFAFA" w:color="auto" w:val="clear"/>
            <w:tcMar>
              <w:top w:type="dxa" w:w="60"/>
              <w:left w:type="dxa" w:w="90"/>
              <w:bottom w:type="dxa" w:w="60"/>
              <w:right w:type="dxa" w:w="90"/>
            </w:tcMar>
          </w:tcPr>
          <w:p>
            <w:pPr>
              <w:spacing w:after="0" w:line="240"/>
            </w:pPr>
            <w:r>
              <w:rPr>
                <w:rFonts w:ascii="Calibri" w:cs="Calibri" w:eastAsia="Calibri" w:hAnsi="Calibri"/>
                <w:b/>
                <w:bCs/>
                <w:i w:val="false"/>
                <w:iCs w:val="false"/>
                <w:sz w:val="18"/>
                <w:szCs w:val="18"/>
              </w:rPr>
              <w:t xml:space="preserve">Comptes fournisseurs / Achats × 365</w:t>
            </w:r>
          </w:p>
        </w:tc>
        <w:tc>
          <w:tcPr>
            <w:tcW w:type="dxa" w:w="2437"/>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153 j</w:t>
            </w:r>
          </w:p>
        </w:tc>
        <w:tc>
          <w:tcPr>
            <w:tcW w:type="dxa" w:w="2437"/>
            <w:shd w:fill="FAFAFA"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8"/>
                <w:szCs w:val="18"/>
              </w:rPr>
              <w:t xml:space="preserve">281 j</w:t>
            </w:r>
          </w:p>
        </w:tc>
      </w:tr>
      <w:tr>
        <w:tc>
          <w:tcPr>
            <w:tcW w:type="dxa" w:w="4152"/>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FR / CA × 365</w:t>
            </w:r>
          </w:p>
        </w:tc>
        <w:tc>
          <w:tcPr>
            <w:tcW w:type="dxa" w:w="2437"/>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-78 j</w:t>
            </w:r>
          </w:p>
        </w:tc>
        <w:tc>
          <w:tcPr>
            <w:tcW w:type="dxa" w:w="2437"/>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-207 j</w:t>
            </w:r>
          </w:p>
        </w:tc>
      </w:tr>
      <w:tr>
        <w:tc>
          <w:tcPr>
            <w:tcW w:type="dxa" w:w="4152"/>
            <w:shd w:fill="FAFAFA" w:color="auto" w:val="clear"/>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BFR / CA × 365</w:t>
            </w:r>
          </w:p>
        </w:tc>
        <w:tc>
          <w:tcPr>
            <w:tcW w:type="dxa" w:w="2437"/>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-29 j</w:t>
            </w:r>
          </w:p>
        </w:tc>
        <w:tc>
          <w:tcPr>
            <w:tcW w:type="dxa" w:w="2437"/>
            <w:shd w:fill="FAFAFA"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8"/>
                <w:szCs w:val="18"/>
              </w:rPr>
              <w:t xml:space="preserve">-153 j</w:t>
            </w:r>
          </w:p>
        </w:tc>
      </w:tr>
    </w:tbl>
    <w:p>
      <w:pPr>
        <w:spacing w:after="120" w:before="0" w:line="276"/>
      </w:pPr>
      <w:r>
        <w:rPr>
          <w:rFonts w:ascii="Calibri" w:cs="Calibri" w:eastAsia="Calibri" w:hAnsi="Calibri"/>
          <w:b w:val="false"/>
          <w:bCs w:val="false"/>
          <w:i/>
          <w:iCs/>
          <w:sz w:val="18"/>
          <w:szCs w:val="18"/>
        </w:rPr>
        <w:t xml:space="preserve">Le CREDAPP retient un DPO de 411 jours : c'est le ratio calculé sur le chiffre d'affaires et non sur les achats. Le chiffre à défendre en comité est 281 jours.</w:t>
      </w:r>
    </w:p>
    <w:p>
      <w:pPr>
        <w:pStyle w:val="Heading1"/>
        <w:spacing w:after="160" w:before="320"/>
      </w:pPr>
      <w:r>
        <w:rPr>
          <w:rFonts w:ascii="Calibri" w:cs="Calibri" w:eastAsia="Calibri" w:hAnsi="Calibri"/>
          <w:b/>
          <w:bCs/>
          <w:color w:val="1F3864"/>
          <w:sz w:val="28"/>
          <w:szCs w:val="28"/>
        </w:rPr>
        <w:t xml:space="preserve">6. Campagne 26/27 et plan de trésorerie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4512"/>
        <w:gridCol w:w="2257"/>
        <w:gridCol w:w="2257"/>
      </w:tblGrid>
      <w:tr>
        <w:trPr>
          <w:tblHeader/>
        </w:trPr>
        <w:tc>
          <w:tcPr>
            <w:tcW w:type="dxa" w:w="4512"/>
            <w:shd w:fill="1F3864" w:color="auto" w:val="clear"/>
            <w:tcMar>
              <w:top w:type="dxa" w:w="60"/>
              <w:left w:type="dxa" w:w="90"/>
              <w:bottom w:type="dxa" w:w="60"/>
              <w:right w:type="dxa" w:w="90"/>
            </w:tcMar>
          </w:tcPr>
          <w:p>
            <w:pPr>
              <w:spacing w:after="0" w:line="240"/>
            </w:pPr>
            <w:r>
              <w:rPr>
                <w:rFonts w:ascii="Calibri" w:cs="Calibri" w:eastAsia="Calibri" w:hAnsi="Calibri"/>
                <w:b/>
                <w:bCs/>
                <w:i w:val="false"/>
                <w:iCs w:val="false"/>
                <w:color w:val="FFFFFF"/>
                <w:sz w:val="18"/>
                <w:szCs w:val="18"/>
              </w:rPr>
              <w:t xml:space="preserve"/>
            </w:r>
          </w:p>
        </w:tc>
        <w:tc>
          <w:tcPr>
            <w:tcW w:type="dxa" w:w="2257"/>
            <w:shd w:fill="1F3864"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color w:val="FFFFFF"/>
                <w:sz w:val="18"/>
                <w:szCs w:val="18"/>
              </w:rPr>
              <w:t xml:space="preserve">2025/26</w:t>
            </w:r>
          </w:p>
        </w:tc>
        <w:tc>
          <w:tcPr>
            <w:tcW w:type="dxa" w:w="2257"/>
            <w:shd w:fill="1F3864"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color w:val="FFFFFF"/>
                <w:sz w:val="18"/>
                <w:szCs w:val="18"/>
              </w:rPr>
              <w:t xml:space="preserve">2026/27</w:t>
            </w:r>
          </w:p>
        </w:tc>
      </w:tr>
      <w:tr>
        <w:tc>
          <w:tcPr>
            <w:tcW w:type="dxa" w:w="4512"/>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Prix bord champ (FCFA/kg)</w:t>
            </w:r>
          </w:p>
        </w:tc>
        <w:tc>
          <w:tcPr>
            <w:tcW w:type="dxa" w:w="2257"/>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2 800</w:t>
            </w:r>
          </w:p>
        </w:tc>
        <w:tc>
          <w:tcPr>
            <w:tcW w:type="dxa" w:w="2257"/>
            <w:tcMar>
              <w:top w:type="dxa" w:w="60"/>
              <w:left w:type="dxa" w:w="90"/>
              <w:bottom w:type="dxa" w:w="60"/>
              <w:right w:type="dxa" w:w="90"/>
            </w:tcMar>
          </w:tcPr>
          <w:p>
            <w:pPr>
              <w:spacing w:after="0" w:line="240"/>
              <w:jc w:val="center"/>
            </w:pPr>
            <w:r>
              <w:rPr>
                <w:rFonts w:ascii="Calibri" w:cs="Calibri" w:eastAsia="Calibri" w:hAnsi="Calibri"/>
                <w:b/>
                <w:bCs/>
                <w:i w:val="false"/>
                <w:iCs w:val="false"/>
                <w:sz w:val="18"/>
                <w:szCs w:val="18"/>
              </w:rPr>
              <w:t xml:space="preserve">1 200</w:t>
            </w:r>
          </w:p>
        </w:tc>
      </w:tr>
      <w:tr>
        <w:tc>
          <w:tcPr>
            <w:tcW w:type="dxa" w:w="4512"/>
            <w:shd w:fill="FAFAFA" w:color="auto" w:val="clear"/>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Volume d'achat de fèves (T)</w:t>
            </w:r>
          </w:p>
        </w:tc>
        <w:tc>
          <w:tcPr>
            <w:tcW w:type="dxa" w:w="2257"/>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n.c.</w:t>
            </w:r>
          </w:p>
        </w:tc>
        <w:tc>
          <w:tcPr>
            <w:tcW w:type="dxa" w:w="2257"/>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45 000</w:t>
            </w:r>
          </w:p>
        </w:tc>
      </w:tr>
      <w:tr>
        <w:tc>
          <w:tcPr>
            <w:tcW w:type="dxa" w:w="4512"/>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Achat cacao sur la grande campagne (MXOF)</w:t>
            </w:r>
          </w:p>
        </w:tc>
        <w:tc>
          <w:tcPr>
            <w:tcW w:type="dxa" w:w="2257"/>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n.c.</w:t>
            </w:r>
          </w:p>
        </w:tc>
        <w:tc>
          <w:tcPr>
            <w:tcW w:type="dxa" w:w="2257"/>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31 476</w:t>
            </w:r>
          </w:p>
        </w:tc>
      </w:tr>
      <w:tr>
        <w:tc>
          <w:tcPr>
            <w:tcW w:type="dxa" w:w="4512"/>
            <w:shd w:fill="FAFAFA" w:color="auto" w:val="clear"/>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SPOT sollicité (MXOF)</w:t>
            </w:r>
          </w:p>
        </w:tc>
        <w:tc>
          <w:tcPr>
            <w:tcW w:type="dxa" w:w="2257"/>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4 500</w:t>
            </w:r>
          </w:p>
        </w:tc>
        <w:tc>
          <w:tcPr>
            <w:tcW w:type="dxa" w:w="2257"/>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7 000</w:t>
            </w:r>
          </w:p>
        </w:tc>
      </w:tr>
      <w:tr>
        <w:tc>
          <w:tcPr>
            <w:tcW w:type="dxa" w:w="4512"/>
            <w:shd w:fill="F2F2F2" w:color="auto" w:val="clear"/>
            <w:tcMar>
              <w:top w:type="dxa" w:w="60"/>
              <w:left w:type="dxa" w:w="90"/>
              <w:bottom w:type="dxa" w:w="60"/>
              <w:right w:type="dxa" w:w="90"/>
            </w:tcMar>
          </w:tcPr>
          <w:p>
            <w:pPr>
              <w:spacing w:after="0" w:line="240"/>
            </w:pPr>
            <w:r>
              <w:rPr>
                <w:rFonts w:ascii="Calibri" w:cs="Calibri" w:eastAsia="Calibri" w:hAnsi="Calibri"/>
                <w:b/>
                <w:bCs/>
                <w:i w:val="false"/>
                <w:iCs w:val="false"/>
                <w:sz w:val="18"/>
                <w:szCs w:val="18"/>
              </w:rPr>
              <w:t xml:space="preserve">Part de marché</w:t>
            </w:r>
          </w:p>
        </w:tc>
        <w:tc>
          <w:tcPr>
            <w:tcW w:type="dxa" w:w="2257"/>
            <w:shd w:fill="F2F2F2"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8"/>
                <w:szCs w:val="18"/>
              </w:rPr>
              <w:t xml:space="preserve">n.c.</w:t>
            </w:r>
          </w:p>
        </w:tc>
        <w:tc>
          <w:tcPr>
            <w:tcW w:type="dxa" w:w="2257"/>
            <w:shd w:fill="F2F2F2"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8"/>
                <w:szCs w:val="18"/>
              </w:rPr>
              <w:t xml:space="preserve">22 %</w:t>
            </w:r>
          </w:p>
        </w:tc>
      </w:tr>
    </w:tbl>
    <w:p>
      <w:pPr>
        <w:pStyle w:val="Heading3"/>
        <w:spacing w:after="100" w:before="200"/>
      </w:pPr>
      <w:r>
        <w:rPr>
          <w:rFonts w:ascii="Calibri" w:cs="Calibri" w:eastAsia="Calibri" w:hAnsi="Calibri"/>
          <w:b/>
          <w:bCs/>
          <w:color w:val="333333"/>
          <w:sz w:val="21"/>
          <w:szCs w:val="21"/>
        </w:rPr>
        <w:t xml:space="preserve">Reconstitution de la marge unitaire</w:t>
      </w:r>
    </w:p>
    <w:p>
      <w:pPr>
        <w:spacing w:after="120" w:before="0" w:line="276"/>
      </w:pPr>
      <w:r>
        <w:rPr>
          <w:rFonts w:ascii="Calibri" w:cs="Calibri" w:eastAsia="Calibri" w:hAnsi="Calibri"/>
          <w:b w:val="false"/>
          <w:bCs w:val="false"/>
          <w:i/>
          <w:iCs/>
          <w:sz w:val="18"/>
          <w:szCs w:val="18"/>
        </w:rPr>
        <w:t xml:space="preserve">Hypothèses du client : rendement de 0,8, soit 1,25 kg de fèves par kg de masse.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6318"/>
        <w:gridCol w:w="2708"/>
      </w:tblGrid>
      <w:tr>
        <w:trPr>
          <w:tblHeader/>
        </w:trPr>
        <w:tc>
          <w:tcPr>
            <w:tcW w:type="dxa" w:w="6318"/>
            <w:shd w:fill="1F3864" w:color="auto" w:val="clear"/>
            <w:tcMar>
              <w:top w:type="dxa" w:w="60"/>
              <w:left w:type="dxa" w:w="90"/>
              <w:bottom w:type="dxa" w:w="60"/>
              <w:right w:type="dxa" w:w="90"/>
            </w:tcMar>
          </w:tcPr>
          <w:p>
            <w:pPr>
              <w:spacing w:after="0" w:line="240"/>
            </w:pPr>
            <w:r>
              <w:rPr>
                <w:rFonts w:ascii="Calibri" w:cs="Calibri" w:eastAsia="Calibri" w:hAnsi="Calibri"/>
                <w:b/>
                <w:bCs/>
                <w:i w:val="false"/>
                <w:iCs w:val="false"/>
                <w:color w:val="FFFFFF"/>
                <w:sz w:val="18"/>
                <w:szCs w:val="18"/>
              </w:rPr>
              <w:t xml:space="preserve">Par kg de masse</w:t>
            </w:r>
          </w:p>
        </w:tc>
        <w:tc>
          <w:tcPr>
            <w:tcW w:type="dxa" w:w="2708"/>
            <w:shd w:fill="1F3864"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color w:val="FFFFFF"/>
                <w:sz w:val="18"/>
                <w:szCs w:val="18"/>
              </w:rPr>
              <w:t xml:space="preserve">F/kg</w:t>
            </w:r>
          </w:p>
        </w:tc>
      </w:tr>
      <w:tr>
        <w:tc>
          <w:tcPr>
            <w:tcW w:type="dxa" w:w="6318"/>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Coût des fèves (1 399 × 1,25)</w:t>
            </w:r>
          </w:p>
        </w:tc>
        <w:tc>
          <w:tcPr>
            <w:tcW w:type="dxa" w:w="2708"/>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1 749</w:t>
            </w:r>
          </w:p>
        </w:tc>
      </w:tr>
      <w:tr>
        <w:tc>
          <w:tcPr>
            <w:tcW w:type="dxa" w:w="6318"/>
            <w:shd w:fill="FAFAFA" w:color="auto" w:val="clear"/>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Charges d'exploitation</w:t>
            </w:r>
          </w:p>
        </w:tc>
        <w:tc>
          <w:tcPr>
            <w:tcW w:type="dxa" w:w="2708"/>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593</w:t>
            </w:r>
          </w:p>
        </w:tc>
      </w:tr>
      <w:tr>
        <w:tc>
          <w:tcPr>
            <w:tcW w:type="dxa" w:w="6318"/>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Autres charges d'exploitation</w:t>
            </w:r>
          </w:p>
        </w:tc>
        <w:tc>
          <w:tcPr>
            <w:tcW w:type="dxa" w:w="2708"/>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100</w:t>
            </w:r>
          </w:p>
        </w:tc>
      </w:tr>
      <w:tr>
        <w:tc>
          <w:tcPr>
            <w:tcW w:type="dxa" w:w="6318"/>
            <w:shd w:fill="FAFAFA" w:color="auto" w:val="clear"/>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Charges financières</w:t>
            </w:r>
          </w:p>
        </w:tc>
        <w:tc>
          <w:tcPr>
            <w:tcW w:type="dxa" w:w="2708"/>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63</w:t>
            </w:r>
          </w:p>
        </w:tc>
      </w:tr>
      <w:tr>
        <w:tc>
          <w:tcPr>
            <w:tcW w:type="dxa" w:w="6318"/>
            <w:shd w:fill="F2F2F2" w:color="auto" w:val="clear"/>
            <w:tcMar>
              <w:top w:type="dxa" w:w="60"/>
              <w:left w:type="dxa" w:w="90"/>
              <w:bottom w:type="dxa" w:w="60"/>
              <w:right w:type="dxa" w:w="90"/>
            </w:tcMar>
          </w:tcPr>
          <w:p>
            <w:pPr>
              <w:spacing w:after="0" w:line="240"/>
            </w:pPr>
            <w:r>
              <w:rPr>
                <w:rFonts w:ascii="Calibri" w:cs="Calibri" w:eastAsia="Calibri" w:hAnsi="Calibri"/>
                <w:b/>
                <w:bCs/>
                <w:i w:val="false"/>
                <w:iCs w:val="false"/>
                <w:sz w:val="18"/>
                <w:szCs w:val="18"/>
              </w:rPr>
              <w:t xml:space="preserve">Coût de revient cash</w:t>
            </w:r>
          </w:p>
        </w:tc>
        <w:tc>
          <w:tcPr>
            <w:tcW w:type="dxa" w:w="2708"/>
            <w:shd w:fill="F2F2F2"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8"/>
                <w:szCs w:val="18"/>
              </w:rPr>
              <w:t xml:space="preserve">2 505</w:t>
            </w:r>
          </w:p>
        </w:tc>
      </w:tr>
      <w:tr>
        <w:tc>
          <w:tcPr>
            <w:tcW w:type="dxa" w:w="6318"/>
            <w:shd w:fill="FAFAFA" w:color="auto" w:val="clear"/>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Prix de vente retenu</w:t>
            </w:r>
          </w:p>
        </w:tc>
        <w:tc>
          <w:tcPr>
            <w:tcW w:type="dxa" w:w="2708"/>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2 600</w:t>
            </w:r>
          </w:p>
        </w:tc>
      </w:tr>
      <w:tr>
        <w:tc>
          <w:tcPr>
            <w:tcW w:type="dxa" w:w="6318"/>
            <w:shd w:fill="F2F2F2" w:color="auto" w:val="clear"/>
            <w:tcMar>
              <w:top w:type="dxa" w:w="60"/>
              <w:left w:type="dxa" w:w="90"/>
              <w:bottom w:type="dxa" w:w="60"/>
              <w:right w:type="dxa" w:w="90"/>
            </w:tcMar>
          </w:tcPr>
          <w:p>
            <w:pPr>
              <w:spacing w:after="0" w:line="240"/>
            </w:pPr>
            <w:r>
              <w:rPr>
                <w:rFonts w:ascii="Calibri" w:cs="Calibri" w:eastAsia="Calibri" w:hAnsi="Calibri"/>
                <w:b/>
                <w:bCs/>
                <w:i w:val="false"/>
                <w:iCs w:val="false"/>
                <w:sz w:val="18"/>
                <w:szCs w:val="18"/>
              </w:rPr>
              <w:t xml:space="preserve">Marge</w:t>
            </w:r>
          </w:p>
        </w:tc>
        <w:tc>
          <w:tcPr>
            <w:tcW w:type="dxa" w:w="2708"/>
            <w:shd w:fill="F2F2F2"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color w:val="C00000"/>
                <w:sz w:val="18"/>
                <w:szCs w:val="18"/>
              </w:rPr>
              <w:t xml:space="preserve">+95  (3,7 %)</w:t>
            </w:r>
          </w:p>
        </w:tc>
      </w:tr>
    </w:tbl>
    <w:p>
      <w:pPr>
        <w:spacing w:after="120" w:before="0" w:line="276"/>
      </w:pPr>
      <w:r>
        <w:rPr>
          <w:rFonts w:ascii="Calibri" w:cs="Calibri" w:eastAsia="Calibri" w:hAnsi="Calibri"/>
          <w:b w:val="false"/>
          <w:bCs w:val="false"/>
          <w:i w:val="false"/>
          <w:iCs w:val="false"/>
          <w:sz w:val="20"/>
          <w:szCs w:val="20"/>
        </w:rPr>
        <w:t xml:space="preserve">Le plan le confirme lui-même : 7 800 MXOF d'encaissements contre 7 636,5 de décaissements par mois, soit 2,1 % d'excédent et 2 452 MXOF cumulés sur 15 mois.</w:t>
      </w:r>
    </w:p>
    <w:p>
      <w:pPr>
        <w:pStyle w:val="ListParagraph"/>
        <w:numPr>
          <w:ilvl w:val="0"/>
          <w:numId w:val="2"/>
        </w:numPr>
        <w:spacing w:after="80" w:line="264"/>
      </w:pPr>
      <w:r>
        <w:rPr>
          <w:rFonts w:ascii="Calibri" w:cs="Calibri" w:eastAsia="Calibri" w:hAnsi="Calibri"/>
          <w:b w:val="false"/>
          <w:bCs w:val="false"/>
          <w:i w:val="false"/>
          <w:iCs w:val="false"/>
          <w:sz w:val="20"/>
          <w:szCs w:val="20"/>
        </w:rPr>
        <w:t xml:space="preserve">L'hypothèse d'achat tient : 1 399 F/kg rendu usine contre 1 200 F/kg bord champ laisse 199 F/kg de collecte et de transport. Validée par l'arbitrage officiel du 1er septembre 2026. C'est le point le mieux étayé du dossier.</w:t>
      </w:r>
    </w:p>
    <w:p>
      <w:pPr>
        <w:pStyle w:val="ListParagraph"/>
        <w:numPr>
          <w:ilvl w:val="0"/>
          <w:numId w:val="2"/>
        </w:numPr>
        <w:spacing w:after="80" w:line="264"/>
      </w:pPr>
      <w:r>
        <w:rPr>
          <w:rFonts w:ascii="Calibri" w:cs="Calibri" w:eastAsia="Calibri" w:hAnsi="Calibri"/>
          <w:b w:val="false"/>
          <w:bCs w:val="false"/>
          <w:i w:val="false"/>
          <w:iCs w:val="false"/>
          <w:sz w:val="20"/>
          <w:szCs w:val="20"/>
        </w:rPr>
        <w:t xml:space="preserve">La marge ne tient pas : une baisse de 4 % du prix de vente, ou une hausse de 5 % du coût de la fève, efface la totalité de l'excédent. Aucun coussin de sécurité sur un marché qui vient de perdre 70 %.</w:t>
      </w:r>
    </w:p>
    <w:p>
      <w:pPr>
        <w:pStyle w:val="ListParagraph"/>
        <w:numPr>
          <w:ilvl w:val="0"/>
          <w:numId w:val="2"/>
        </w:numPr>
        <w:spacing w:after="80" w:line="264"/>
      </w:pPr>
      <w:r>
        <w:rPr>
          <w:rFonts w:ascii="Calibri" w:cs="Calibri" w:eastAsia="Calibri" w:hAnsi="Calibri"/>
          <w:b w:val="false"/>
          <w:bCs w:val="false"/>
          <w:i w:val="false"/>
          <w:iCs w:val="false"/>
          <w:sz w:val="20"/>
          <w:szCs w:val="20"/>
        </w:rPr>
        <w:t xml:space="preserve">Le plan ignore les amortissements (12 308 MXOF pour PK24 seul en 2026) et n'intègre aucun remboursement du crédit fournisseur.</w:t>
      </w:r>
    </w:p>
    <w:p>
      <w:pPr>
        <w:pStyle w:val="Heading3"/>
        <w:spacing w:after="100" w:before="200"/>
      </w:pPr>
      <w:r>
        <w:rPr>
          <w:rFonts w:ascii="Calibri" w:cs="Calibri" w:eastAsia="Calibri" w:hAnsi="Calibri"/>
          <w:b/>
          <w:bCs/>
          <w:color w:val="333333"/>
          <w:sz w:val="21"/>
          <w:szCs w:val="21"/>
        </w:rPr>
        <w:t xml:space="preserve">Incohérences à faire corriger avant transmission</w:t>
      </w:r>
    </w:p>
    <w:p>
      <w:pPr>
        <w:pStyle w:val="ListParagraph"/>
        <w:numPr>
          <w:ilvl w:val="0"/>
          <w:numId w:val="2"/>
        </w:numPr>
        <w:spacing w:after="80" w:line="264"/>
      </w:pPr>
      <w:r>
        <w:rPr>
          <w:rFonts w:ascii="Calibri" w:cs="Calibri" w:eastAsia="Calibri" w:hAnsi="Calibri"/>
          <w:b w:val="false"/>
          <w:bCs w:val="false"/>
          <w:i w:val="false"/>
          <w:iCs w:val="false"/>
          <w:sz w:val="20"/>
          <w:szCs w:val="20"/>
        </w:rPr>
        <w:t xml:space="preserve">Trois prix de vente dans le même dossier : 2 559 (CREDAPP et perspectives), 2 600 (plan de trésorerie), 3 250 F/kg (plan de campagne CA).</w:t>
      </w:r>
    </w:p>
    <w:p>
      <w:pPr>
        <w:pStyle w:val="ListParagraph"/>
        <w:numPr>
          <w:ilvl w:val="0"/>
          <w:numId w:val="2"/>
        </w:numPr>
        <w:spacing w:after="80" w:line="264"/>
      </w:pPr>
      <w:r>
        <w:rPr>
          <w:rFonts w:ascii="Calibri" w:cs="Calibri" w:eastAsia="Calibri" w:hAnsi="Calibri"/>
          <w:b w:val="false"/>
          <w:bCs w:val="false"/>
          <w:i w:val="false"/>
          <w:iCs w:val="false"/>
          <w:sz w:val="20"/>
          <w:szCs w:val="20"/>
        </w:rPr>
        <w:t xml:space="preserve">Deux volumes : 27 300 T au CREDAPP contre 45 000 T au plan de trésorerie (3 000 T/mois sur 15 mois).</w:t>
      </w:r>
    </w:p>
    <w:p>
      <w:pPr>
        <w:pStyle w:val="ListParagraph"/>
        <w:numPr>
          <w:ilvl w:val="0"/>
          <w:numId w:val="2"/>
        </w:numPr>
        <w:spacing w:after="80" w:line="264"/>
      </w:pPr>
      <w:r>
        <w:rPr>
          <w:rFonts w:ascii="Calibri" w:cs="Calibri" w:eastAsia="Calibri" w:hAnsi="Calibri"/>
          <w:b w:val="false"/>
          <w:bCs w:val="false"/>
          <w:i w:val="false"/>
          <w:iCs w:val="false"/>
          <w:sz w:val="20"/>
          <w:szCs w:val="20"/>
        </w:rPr>
        <w:t xml:space="preserve">Formules cassées (#REF!, #DIV/0!, #NAME?) et partie gauche du fichier résiduelle de réalisations 2022.</w:t>
      </w:r>
    </w:p>
    <w:p>
      <w:pPr>
        <w:pStyle w:val="ListParagraph"/>
        <w:numPr>
          <w:ilvl w:val="0"/>
          <w:numId w:val="2"/>
        </w:numPr>
        <w:spacing w:after="80" w:line="264"/>
      </w:pPr>
      <w:r>
        <w:rPr>
          <w:rFonts w:ascii="Calibri" w:cs="Calibri" w:eastAsia="Calibri" w:hAnsi="Calibri"/>
          <w:b w:val="false"/>
          <w:bCs w:val="false"/>
          <w:i w:val="false"/>
          <w:iCs w:val="false"/>
          <w:sz w:val="20"/>
          <w:szCs w:val="20"/>
        </w:rPr>
        <w:t xml:space="preserve">SGCI est absente des soldes bancaires du plan, qui ne mentionne que BBG, SIB et BNI.</w:t>
      </w:r>
    </w:p>
    <w:p>
      <w:r>
        <w:br w:type="page"/>
      </w:r>
    </w:p>
    <w:p>
      <w:pPr>
        <w:pStyle w:val="Heading1"/>
        <w:spacing w:after="160" w:before="320"/>
      </w:pPr>
      <w:r>
        <w:rPr>
          <w:rFonts w:ascii="Calibri" w:cs="Calibri" w:eastAsia="Calibri" w:hAnsi="Calibri"/>
          <w:b/>
          <w:bCs/>
          <w:color w:val="1F3864"/>
          <w:sz w:val="28"/>
          <w:szCs w:val="28"/>
        </w:rPr>
        <w:t xml:space="preserve">7. Architecture de risque</w:t>
      </w:r>
    </w:p>
    <w:p>
      <w:pPr>
        <w:pStyle w:val="Heading2"/>
        <w:spacing w:after="120" w:before="260"/>
      </w:pPr>
      <w:r>
        <w:rPr>
          <w:rFonts w:ascii="Calibri" w:cs="Calibri" w:eastAsia="Calibri" w:hAnsi="Calibri"/>
          <w:b/>
          <w:bCs/>
          <w:color w:val="1F3864"/>
          <w:sz w:val="23"/>
          <w:szCs w:val="23"/>
        </w:rPr>
        <w:t xml:space="preserve">7.1 GCB occupe quatre positions simultanées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159"/>
        <w:gridCol w:w="5867"/>
      </w:tblGrid>
      <w:tr>
        <w:trPr>
          <w:tblHeader/>
        </w:trPr>
        <w:tc>
          <w:tcPr>
            <w:tcW w:type="dxa" w:w="3159"/>
            <w:shd w:fill="1F3864" w:color="auto" w:val="clear"/>
            <w:tcMar>
              <w:top w:type="dxa" w:w="60"/>
              <w:left w:type="dxa" w:w="90"/>
              <w:bottom w:type="dxa" w:w="60"/>
              <w:right w:type="dxa" w:w="90"/>
            </w:tcMar>
          </w:tcPr>
          <w:p>
            <w:pPr>
              <w:spacing w:after="0" w:line="240"/>
            </w:pPr>
            <w:r>
              <w:rPr>
                <w:rFonts w:ascii="Calibri" w:cs="Calibri" w:eastAsia="Calibri" w:hAnsi="Calibri"/>
                <w:b/>
                <w:bCs/>
                <w:i w:val="false"/>
                <w:iCs w:val="false"/>
                <w:color w:val="FFFFFF"/>
                <w:sz w:val="18"/>
                <w:szCs w:val="18"/>
              </w:rPr>
              <w:t xml:space="preserve">Position vis-à-vis de TRANSCAO</w:t>
            </w:r>
          </w:p>
        </w:tc>
        <w:tc>
          <w:tcPr>
            <w:tcW w:type="dxa" w:w="5867"/>
            <w:shd w:fill="1F3864"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color w:val="FFFFFF"/>
                <w:sz w:val="18"/>
                <w:szCs w:val="18"/>
              </w:rPr>
              <w:t xml:space="preserve">Portée</w:t>
            </w:r>
          </w:p>
        </w:tc>
      </w:tr>
      <w:tr>
        <w:tc>
          <w:tcPr>
            <w:tcW w:type="dxa" w:w="3159"/>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Actionnaire</w:t>
            </w:r>
          </w:p>
        </w:tc>
        <w:tc>
          <w:tcPr>
            <w:tcW w:type="dxa" w:w="5867"/>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25 % — opération 2026, non documentée au dossier</w:t>
            </w:r>
          </w:p>
        </w:tc>
      </w:tr>
      <w:tr>
        <w:tc>
          <w:tcPr>
            <w:tcW w:type="dxa" w:w="3159"/>
            <w:shd w:fill="FAFAFA" w:color="auto" w:val="clear"/>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Client</w:t>
            </w:r>
          </w:p>
        </w:tc>
        <w:tc>
          <w:tcPr>
            <w:tcW w:type="dxa" w:w="5867"/>
            <w:shd w:fill="FAFAFA"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color w:val="C00000"/>
                <w:sz w:val="18"/>
                <w:szCs w:val="18"/>
              </w:rPr>
              <w:t xml:space="preserve">9 869 647 093 FCFA, soit 99,8 % des créances clients (note 7)</w:t>
            </w:r>
          </w:p>
        </w:tc>
      </w:tr>
      <w:tr>
        <w:tc>
          <w:tcPr>
            <w:tcW w:type="dxa" w:w="3159"/>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Garant proposé</w:t>
            </w:r>
          </w:p>
        </w:tc>
        <w:tc>
          <w:tcPr>
            <w:tcW w:type="dxa" w:w="5867"/>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GAPD à hauteur de sa participation</w:t>
            </w:r>
          </w:p>
        </w:tc>
      </w:tr>
      <w:tr>
        <w:tc>
          <w:tcPr>
            <w:tcW w:type="dxa" w:w="3159"/>
            <w:shd w:fill="FAFAFA" w:color="auto" w:val="clear"/>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Contrepartie SGCI par ailleurs</w:t>
            </w:r>
          </w:p>
        </w:tc>
        <w:tc>
          <w:tcPr>
            <w:tcW w:type="dxa" w:w="5867"/>
            <w:shd w:fill="FAFAFA"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8"/>
                <w:szCs w:val="18"/>
              </w:rPr>
              <w:t xml:space="preserve">23 500 MXOF déjà accordés</w:t>
            </w:r>
          </w:p>
        </w:tc>
      </w:tr>
    </w:tbl>
    <w:p>
      <w:pPr>
        <w:spacing w:after="120" w:before="0" w:line="276"/>
      </w:pPr>
      <w:r>
        <w:rPr>
          <w:rFonts w:ascii="Calibri" w:cs="Calibri" w:eastAsia="Calibri" w:hAnsi="Calibri"/>
          <w:b/>
          <w:bCs/>
          <w:i w:val="false"/>
          <w:iCs w:val="false"/>
          <w:sz w:val="20"/>
          <w:szCs w:val="20"/>
        </w:rPr>
        <w:t xml:space="preserve">La GAPD de GCB n'a aucune valeur dans le scénario où on l'appellerait. Si TRANSCAO fait défaut, c'est presque nécessairement parce que GCB ne l'a pas payée — 99,8 % de son poste clients. GCB serait alors elle-même défaillante et sa garantie inexécutable. La corrélation entre le débiteur, sa source unique de recouvrement et son garant est quasi parfaite.</w:t>
      </w:r>
    </w:p>
    <w:p>
      <w:pPr>
        <w:spacing w:after="120" w:before="0" w:line="276"/>
      </w:pPr>
      <w:r>
        <w:rPr>
          <w:rFonts w:ascii="Calibri" w:cs="Calibri" w:eastAsia="Calibri" w:hAnsi="Calibri"/>
          <w:b w:val="false"/>
          <w:bCs w:val="false"/>
          <w:i w:val="false"/>
          <w:iCs w:val="false"/>
          <w:sz w:val="20"/>
          <w:szCs w:val="20"/>
        </w:rPr>
        <w:t xml:space="preserve">Ce qui a en revanche de la valeur : la délégation notifiée des créances GCB avec domiciliation du règlement chez SGCI. GCB Cocoa CI est notre client, son compte fonctionne en position créditrice avec un solde moyen de 683 MXOF. Cette délégation nous donne un contrôle réel sur le remboursement, très supérieur à une garantie qui défaille au moment précis où elle serait appelée. C'est la sûreté à mettre au centre du dossier.</w:t>
      </w:r>
    </w:p>
    <w:p>
      <w:pPr>
        <w:pStyle w:val="Heading2"/>
        <w:spacing w:after="120" w:before="260"/>
      </w:pPr>
      <w:r>
        <w:rPr>
          <w:rFonts w:ascii="Calibri" w:cs="Calibri" w:eastAsia="Calibri" w:hAnsi="Calibri"/>
          <w:b/>
          <w:bCs/>
          <w:color w:val="1F3864"/>
          <w:sz w:val="23"/>
          <w:szCs w:val="23"/>
        </w:rPr>
        <w:t xml:space="preserve">7.2 Toutes les sûretés réelles sont déjà consenties à la BNI</w:t>
      </w:r>
    </w:p>
    <w:p>
      <w:pPr>
        <w:spacing w:after="120" w:before="0" w:line="276"/>
      </w:pPr>
      <w:r>
        <w:rPr>
          <w:rFonts w:ascii="Calibri" w:cs="Calibri" w:eastAsia="Calibri" w:hAnsi="Calibri"/>
          <w:b w:val="false"/>
          <w:bCs w:val="false"/>
          <w:i w:val="false"/>
          <w:iCs w:val="false"/>
          <w:sz w:val="20"/>
          <w:szCs w:val="20"/>
        </w:rPr>
        <w:t xml:space="preserve">Note 1 — absente du CREDAPP. Convention de crédit BNI de 20 000 000 000 FCFA à 6,5 % HT sur 90 mois, 18 mois de différé, destinée à l'extension de Séwéké. Solde de 15 273 MXOF au 31/12/2025, intégralement à plus de deux ans.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5867"/>
        <w:gridCol w:w="3159"/>
      </w:tblGrid>
      <w:tr>
        <w:trPr>
          <w:tblHeader/>
        </w:trPr>
        <w:tc>
          <w:tcPr>
            <w:tcW w:type="dxa" w:w="5867"/>
            <w:shd w:fill="1F3864" w:color="auto" w:val="clear"/>
            <w:tcMar>
              <w:top w:type="dxa" w:w="60"/>
              <w:left w:type="dxa" w:w="90"/>
              <w:bottom w:type="dxa" w:w="60"/>
              <w:right w:type="dxa" w:w="90"/>
            </w:tcMar>
          </w:tcPr>
          <w:p>
            <w:pPr>
              <w:spacing w:after="0" w:line="240"/>
            </w:pPr>
            <w:r>
              <w:rPr>
                <w:rFonts w:ascii="Calibri" w:cs="Calibri" w:eastAsia="Calibri" w:hAnsi="Calibri"/>
                <w:b/>
                <w:bCs/>
                <w:i w:val="false"/>
                <w:iCs w:val="false"/>
                <w:color w:val="FFFFFF"/>
                <w:sz w:val="18"/>
                <w:szCs w:val="18"/>
              </w:rPr>
              <w:t xml:space="preserve">Sûreté consentie à la BNI</w:t>
            </w:r>
          </w:p>
        </w:tc>
        <w:tc>
          <w:tcPr>
            <w:tcW w:type="dxa" w:w="3159"/>
            <w:shd w:fill="1F3864"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color w:val="FFFFFF"/>
                <w:sz w:val="18"/>
                <w:szCs w:val="18"/>
              </w:rPr>
              <w:t xml:space="preserve">Montant FCFA</w:t>
            </w:r>
          </w:p>
        </w:tc>
      </w:tr>
      <w:tr>
        <w:tc>
          <w:tcPr>
            <w:tcW w:type="dxa" w:w="5867"/>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Nantissements sur certains actifs</w:t>
            </w:r>
          </w:p>
        </w:tc>
        <w:tc>
          <w:tcPr>
            <w:tcW w:type="dxa" w:w="3159"/>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684 845 020</w:t>
            </w:r>
          </w:p>
        </w:tc>
      </w:tr>
      <w:tr>
        <w:tc>
          <w:tcPr>
            <w:tcW w:type="dxa" w:w="5867"/>
            <w:shd w:fill="FAFAFA" w:color="auto" w:val="clear"/>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Hypothèque conditionnelle sur le site hébergeant l'usine</w:t>
            </w:r>
          </w:p>
        </w:tc>
        <w:tc>
          <w:tcPr>
            <w:tcW w:type="dxa" w:w="3159"/>
            <w:shd w:fill="FAFAFA"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color w:val="C00000"/>
                <w:sz w:val="18"/>
                <w:szCs w:val="18"/>
              </w:rPr>
              <w:t xml:space="preserve">20 000 000 000</w:t>
            </w:r>
          </w:p>
        </w:tc>
      </w:tr>
      <w:tr>
        <w:tc>
          <w:tcPr>
            <w:tcW w:type="dxa" w:w="5867"/>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Billet à ordre</w:t>
            </w:r>
          </w:p>
        </w:tc>
        <w:tc>
          <w:tcPr>
            <w:tcW w:type="dxa" w:w="3159"/>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20 000 000 000</w:t>
            </w:r>
          </w:p>
        </w:tc>
      </w:tr>
      <w:tr>
        <w:tc>
          <w:tcPr>
            <w:tcW w:type="dxa" w:w="5867"/>
            <w:shd w:fill="FAFAFA" w:color="auto" w:val="clear"/>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Gage sur le matériel à acquérir</w:t>
            </w:r>
          </w:p>
        </w:tc>
        <w:tc>
          <w:tcPr>
            <w:tcW w:type="dxa" w:w="3159"/>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consenti</w:t>
            </w:r>
          </w:p>
        </w:tc>
      </w:tr>
      <w:tr>
        <w:tc>
          <w:tcPr>
            <w:tcW w:type="dxa" w:w="5867"/>
            <w:shd w:fill="F2F2F2" w:color="auto" w:val="clear"/>
            <w:tcMar>
              <w:top w:type="dxa" w:w="60"/>
              <w:left w:type="dxa" w:w="90"/>
              <w:bottom w:type="dxa" w:w="60"/>
              <w:right w:type="dxa" w:w="90"/>
            </w:tcMar>
          </w:tcPr>
          <w:p>
            <w:pPr>
              <w:spacing w:after="0" w:line="240"/>
            </w:pPr>
            <w:r>
              <w:rPr>
                <w:rFonts w:ascii="Calibri" w:cs="Calibri" w:eastAsia="Calibri" w:hAnsi="Calibri"/>
                <w:b/>
                <w:bCs/>
                <w:i w:val="false"/>
                <w:iCs w:val="false"/>
                <w:sz w:val="18"/>
                <w:szCs w:val="18"/>
              </w:rPr>
              <w:t xml:space="preserve">Total engagements donnés</w:t>
            </w:r>
          </w:p>
        </w:tc>
        <w:tc>
          <w:tcPr>
            <w:tcW w:type="dxa" w:w="3159"/>
            <w:shd w:fill="F2F2F2"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8"/>
                <w:szCs w:val="18"/>
              </w:rPr>
              <w:t xml:space="preserve">40 684 845 020</w:t>
            </w:r>
          </w:p>
        </w:tc>
      </w:tr>
    </w:tbl>
    <w:p>
      <w:pPr>
        <w:spacing w:after="120" w:before="0" w:line="276"/>
      </w:pPr>
      <w:r>
        <w:rPr>
          <w:rFonts w:ascii="Calibri" w:cs="Calibri" w:eastAsia="Calibri" w:hAnsi="Calibri"/>
          <w:b/>
          <w:bCs/>
          <w:i w:val="false"/>
          <w:iCs w:val="false"/>
          <w:sz w:val="20"/>
          <w:szCs w:val="20"/>
        </w:rPr>
        <w:t xml:space="preserve">Il ne reste aucune sûreté réelle disponible. Notre GAPD/GAPG serait de fait chirographaire en réalisation. Et la BNI, notre concurrente dans le pool à 12 000 MXOF, est la seule créancière réellement sécurisée.</w:t>
      </w:r>
    </w:p>
    <w:p>
      <w:pPr>
        <w:spacing w:after="120" w:before="0" w:line="276"/>
      </w:pPr>
      <w:r>
        <w:rPr>
          <w:rFonts w:ascii="Calibri" w:cs="Calibri" w:eastAsia="Calibri" w:hAnsi="Calibri"/>
          <w:b w:val="false"/>
          <w:bCs w:val="false"/>
          <w:i w:val="false"/>
          <w:iCs w:val="false"/>
          <w:sz w:val="20"/>
          <w:szCs w:val="20"/>
        </w:rPr>
        <w:t xml:space="preserve">À quoi s'ajoute que le terrain PK24 n'est détenu qu'en droit de jouissance (convention MCIPPME du 09/08/2019) — non hypothécable et révocable. Le fonds commercial de 3 675 MXOF apparu en 2025, libellé « fonds commercial et droit au bail » et amorti, correspond très vraisemblablement à la valorisation de ce droit d'occupation.</w:t>
      </w:r>
    </w:p>
    <w:p>
      <w:pPr>
        <w:pStyle w:val="Heading2"/>
        <w:spacing w:after="120" w:before="260"/>
      </w:pPr>
      <w:r>
        <w:rPr>
          <w:rFonts w:ascii="Calibri" w:cs="Calibri" w:eastAsia="Calibri" w:hAnsi="Calibri"/>
          <w:b/>
          <w:bCs/>
          <w:color w:val="1F3864"/>
          <w:sz w:val="23"/>
          <w:szCs w:val="23"/>
        </w:rPr>
        <w:t xml:space="preserve">7.3 Concentration SGCI sur la chaîne de valeur</w:t>
      </w:r>
    </w:p>
    <w:p>
      <w:pPr>
        <w:pStyle w:val="ListParagraph"/>
        <w:numPr>
          <w:ilvl w:val="0"/>
          <w:numId w:val="2"/>
        </w:numPr>
        <w:spacing w:after="80" w:line="264"/>
      </w:pPr>
      <w:r>
        <w:rPr>
          <w:rFonts w:ascii="Calibri" w:cs="Calibri" w:eastAsia="Calibri" w:hAnsi="Calibri"/>
          <w:b w:val="false"/>
          <w:bCs w:val="false"/>
          <w:i w:val="false"/>
          <w:iCs w:val="false"/>
          <w:sz w:val="20"/>
          <w:szCs w:val="20"/>
        </w:rPr>
        <w:t xml:space="preserve">Exposition cumulée : 23 500 + 15 000 = 38 500 MXOF, soit environ 262 M RM.</w:t>
      </w:r>
    </w:p>
    <w:p>
      <w:pPr>
        <w:pStyle w:val="ListParagraph"/>
        <w:numPr>
          <w:ilvl w:val="0"/>
          <w:numId w:val="2"/>
        </w:numPr>
        <w:spacing w:after="80" w:line="264"/>
      </w:pPr>
      <w:r>
        <w:rPr>
          <w:rFonts w:ascii="Calibri" w:cs="Calibri" w:eastAsia="Calibri" w:hAnsi="Calibri"/>
          <w:b w:val="false"/>
          <w:bCs w:val="false"/>
          <w:i w:val="false"/>
          <w:iCs w:val="false"/>
          <w:sz w:val="20"/>
          <w:szCs w:val="20"/>
        </w:rPr>
        <w:t xml:space="preserve">Rapportée aux fonds propres de GCB Berhad (2 266 M RM) : environ 11,6 %, contre les 7 % que la reco GCB retenait comme soutenable pour la seule filiale.</w:t>
      </w:r>
    </w:p>
    <w:p>
      <w:pPr>
        <w:pStyle w:val="ListParagraph"/>
        <w:numPr>
          <w:ilvl w:val="0"/>
          <w:numId w:val="2"/>
        </w:numPr>
        <w:spacing w:after="80" w:line="264"/>
      </w:pPr>
      <w:r>
        <w:rPr>
          <w:rFonts w:ascii="Calibri" w:cs="Calibri" w:eastAsia="Calibri" w:hAnsi="Calibri"/>
          <w:b w:val="false"/>
          <w:bCs w:val="false"/>
          <w:i w:val="false"/>
          <w:iCs w:val="false"/>
          <w:sz w:val="20"/>
          <w:szCs w:val="20"/>
        </w:rPr>
        <w:t xml:space="preserve">Ce n'est pas de la diversification : le spot GCB finance l'achat de fèves, le spot TRANSCAO finance l'achat de fèves, et TRANSCAO vend sa masse à GCB à 99,8 %. Les deux contreparties partagent en outre SITAPA en amont.</w:t>
      </w:r>
    </w:p>
    <w:p>
      <w:pPr>
        <w:spacing w:after="120" w:before="0" w:line="276"/>
      </w:pPr>
      <w:r>
        <w:rPr>
          <w:rFonts w:ascii="Calibri" w:cs="Calibri" w:eastAsia="Calibri" w:hAnsi="Calibri"/>
          <w:b/>
          <w:bCs/>
          <w:i w:val="false"/>
          <w:iCs w:val="false"/>
          <w:sz w:val="20"/>
          <w:szCs w:val="20"/>
        </w:rPr>
        <w:t xml:space="preserve">Paragraphe à insérer dans la reco :</w:t>
      </w:r>
    </w:p>
    <w:p>
      <w:pPr>
        <w:pBdr>
          <w:top w:val="single" w:color="D9D9D9" w:sz="2" w:space="6"/>
          <w:bottom w:val="single" w:color="D9D9D9" w:sz="2" w:space="6"/>
          <w:left w:val="single" w:color="1F3864" w:sz="18" w:space="10"/>
          <w:right w:val="single" w:color="D9D9D9" w:sz="2" w:space="6"/>
        </w:pBdr>
        <w:spacing w:after="160" w:before="120" w:line="264"/>
        <w:ind w:left="340" w:right="340"/>
      </w:pPr>
      <w:r>
        <w:rPr>
          <w:rFonts w:ascii="Calibri" w:cs="Calibri" w:eastAsia="Calibri" w:hAnsi="Calibri"/>
          <w:b w:val="false"/>
          <w:bCs w:val="false"/>
          <w:i/>
          <w:iCs/>
          <w:sz w:val="20"/>
          <w:szCs w:val="20"/>
        </w:rPr>
        <w:t xml:space="preserve">L'octroi porterait l'exposition SGCI sur la chaîne de valeur GCB à 38 500 MXOF (23 500 sur GCB Cocoa CI, 15 000 sur TRANSCAO-CI), soit environ 11,6 % des fonds propres du groupe GCB Berhad. Les deux contreparties sont liées par une relation client-fournisseur représentant 99,8 % du poste clients de TRANSCAO-CI, partagent leur source d'approvisionnement en fèves et sont désormais liées au capital. Cette exposition ne constitue pas une diversification : elle finance le même flux physique à deux stades successifs de transformation.</w:t>
      </w:r>
    </w:p>
    <w:p>
      <w:pPr>
        <w:pStyle w:val="Heading1"/>
        <w:spacing w:after="160" w:before="320"/>
      </w:pPr>
      <w:r>
        <w:rPr>
          <w:rFonts w:ascii="Calibri" w:cs="Calibri" w:eastAsia="Calibri" w:hAnsi="Calibri"/>
          <w:b/>
          <w:bCs/>
          <w:color w:val="1F3864"/>
          <w:sz w:val="28"/>
          <w:szCs w:val="28"/>
        </w:rPr>
        <w:t xml:space="preserve">8. Benchmark TRANSCAO-CI / GCB Cocoa CI</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6"/>
        <w:gridCol w:w="3340"/>
        <w:gridCol w:w="3340"/>
      </w:tblGrid>
      <w:tr>
        <w:trPr>
          <w:tblHeader/>
        </w:trPr>
        <w:tc>
          <w:tcPr>
            <w:tcW w:type="dxa" w:w="2346"/>
            <w:shd w:fill="1F3864" w:color="auto" w:val="clear"/>
            <w:tcMar>
              <w:top w:type="dxa" w:w="60"/>
              <w:left w:type="dxa" w:w="90"/>
              <w:bottom w:type="dxa" w:w="60"/>
              <w:right w:type="dxa" w:w="90"/>
            </w:tcMar>
          </w:tcPr>
          <w:p>
            <w:pPr>
              <w:spacing w:after="0" w:line="240"/>
            </w:pPr>
            <w:r>
              <w:rPr>
                <w:rFonts w:ascii="Calibri" w:cs="Calibri" w:eastAsia="Calibri" w:hAnsi="Calibri"/>
                <w:b/>
                <w:bCs/>
                <w:i w:val="false"/>
                <w:iCs w:val="false"/>
                <w:color w:val="FFFFFF"/>
                <w:sz w:val="18"/>
                <w:szCs w:val="18"/>
              </w:rPr>
              <w:t xml:space="preserve"/>
            </w:r>
          </w:p>
        </w:tc>
        <w:tc>
          <w:tcPr>
            <w:tcW w:type="dxa" w:w="3340"/>
            <w:shd w:fill="1F3864"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color w:val="FFFFFF"/>
                <w:sz w:val="18"/>
                <w:szCs w:val="18"/>
              </w:rPr>
              <w:t xml:space="preserve">GCB Cocoa CI</w:t>
            </w:r>
          </w:p>
        </w:tc>
        <w:tc>
          <w:tcPr>
            <w:tcW w:type="dxa" w:w="3340"/>
            <w:shd w:fill="1F3864"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color w:val="FFFFFF"/>
                <w:sz w:val="18"/>
                <w:szCs w:val="18"/>
              </w:rPr>
              <w:t xml:space="preserve">TRANSCAO-CI</w:t>
            </w:r>
          </w:p>
        </w:tc>
      </w:tr>
      <w:tr>
        <w:tc>
          <w:tcPr>
            <w:tcW w:type="dxa" w:w="2346"/>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CA 2025</w:t>
            </w:r>
          </w:p>
        </w:tc>
        <w:tc>
          <w:tcPr>
            <w:tcW w:type="dxa" w:w="3340"/>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295 245 MkXOF</w:t>
            </w:r>
          </w:p>
        </w:tc>
        <w:tc>
          <w:tcPr>
            <w:tcW w:type="dxa" w:w="3340"/>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41 780 MkXOF</w:t>
            </w:r>
          </w:p>
        </w:tc>
      </w:tr>
      <w:tr>
        <w:tc>
          <w:tcPr>
            <w:tcW w:type="dxa" w:w="2346"/>
            <w:shd w:fill="FAFAFA" w:color="auto" w:val="clear"/>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EBE / CA</w:t>
            </w:r>
          </w:p>
        </w:tc>
        <w:tc>
          <w:tcPr>
            <w:tcW w:type="dxa" w:w="3340"/>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5 %</w:t>
            </w:r>
          </w:p>
        </w:tc>
        <w:tc>
          <w:tcPr>
            <w:tcW w:type="dxa" w:w="3340"/>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-12,1 % (retraité 26,4 %)</w:t>
            </w:r>
          </w:p>
        </w:tc>
      </w:tr>
      <w:tr>
        <w:tc>
          <w:tcPr>
            <w:tcW w:type="dxa" w:w="2346"/>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Résultat net / CA</w:t>
            </w:r>
          </w:p>
        </w:tc>
        <w:tc>
          <w:tcPr>
            <w:tcW w:type="dxa" w:w="3340"/>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2,9 %</w:t>
            </w:r>
          </w:p>
        </w:tc>
        <w:tc>
          <w:tcPr>
            <w:tcW w:type="dxa" w:w="3340"/>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-31,1 %</w:t>
            </w:r>
          </w:p>
        </w:tc>
      </w:tr>
      <w:tr>
        <w:tc>
          <w:tcPr>
            <w:tcW w:type="dxa" w:w="2346"/>
            <w:shd w:fill="FAFAFA" w:color="auto" w:val="clear"/>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Solvabilité</w:t>
            </w:r>
          </w:p>
        </w:tc>
        <w:tc>
          <w:tcPr>
            <w:tcW w:type="dxa" w:w="3340"/>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16,5 %</w:t>
            </w:r>
          </w:p>
        </w:tc>
        <w:tc>
          <w:tcPr>
            <w:tcW w:type="dxa" w:w="3340"/>
            <w:shd w:fill="FAFAFA"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8"/>
                <w:szCs w:val="18"/>
              </w:rPr>
              <w:t xml:space="preserve">41,7 %</w:t>
            </w:r>
          </w:p>
        </w:tc>
      </w:tr>
      <w:tr>
        <w:tc>
          <w:tcPr>
            <w:tcW w:type="dxa" w:w="2346"/>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Gearing</w:t>
            </w:r>
          </w:p>
        </w:tc>
        <w:tc>
          <w:tcPr>
            <w:tcW w:type="dxa" w:w="3340"/>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2,67 x</w:t>
            </w:r>
          </w:p>
        </w:tc>
        <w:tc>
          <w:tcPr>
            <w:tcW w:type="dxa" w:w="3340"/>
            <w:tcMar>
              <w:top w:type="dxa" w:w="60"/>
              <w:left w:type="dxa" w:w="90"/>
              <w:bottom w:type="dxa" w:w="60"/>
              <w:right w:type="dxa" w:w="90"/>
            </w:tcMar>
          </w:tcPr>
          <w:p>
            <w:pPr>
              <w:spacing w:after="0" w:line="240"/>
              <w:jc w:val="center"/>
            </w:pPr>
            <w:r>
              <w:rPr>
                <w:rFonts w:ascii="Calibri" w:cs="Calibri" w:eastAsia="Calibri" w:hAnsi="Calibri"/>
                <w:b/>
                <w:bCs/>
                <w:i w:val="false"/>
                <w:iCs w:val="false"/>
                <w:sz w:val="18"/>
                <w:szCs w:val="18"/>
              </w:rPr>
              <w:t xml:space="preserve">0,37 x</w:t>
            </w:r>
          </w:p>
        </w:tc>
      </w:tr>
      <w:tr>
        <w:tc>
          <w:tcPr>
            <w:tcW w:type="dxa" w:w="2346"/>
            <w:shd w:fill="FAFAFA" w:color="auto" w:val="clear"/>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BFR / CA</w:t>
            </w:r>
          </w:p>
        </w:tc>
        <w:tc>
          <w:tcPr>
            <w:tcW w:type="dxa" w:w="3340"/>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+76 j</w:t>
            </w:r>
          </w:p>
        </w:tc>
        <w:tc>
          <w:tcPr>
            <w:tcW w:type="dxa" w:w="3340"/>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-153 j</w:t>
            </w:r>
          </w:p>
        </w:tc>
      </w:tr>
      <w:tr>
        <w:tc>
          <w:tcPr>
            <w:tcW w:type="dxa" w:w="2346"/>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Actionnaire</w:t>
            </w:r>
          </w:p>
        </w:tc>
        <w:tc>
          <w:tcPr>
            <w:tcW w:type="dxa" w:w="3340"/>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GCB Berhad — coté Bursa, capi 760 MEUR</w:t>
            </w:r>
          </w:p>
        </w:tc>
        <w:tc>
          <w:tcPr>
            <w:tcW w:type="dxa" w:w="3340"/>
            <w:tcMar>
              <w:top w:type="dxa" w:w="60"/>
              <w:left w:type="dxa" w:w="90"/>
              <w:bottom w:type="dxa" w:w="60"/>
              <w:right w:type="dxa" w:w="90"/>
            </w:tcMar>
          </w:tcPr>
          <w:p>
            <w:pPr>
              <w:spacing w:after="0" w:line="240"/>
              <w:jc w:val="center"/>
            </w:pPr>
            <w:r>
              <w:rPr>
                <w:rFonts w:ascii="Calibri" w:cs="Calibri" w:eastAsia="Calibri" w:hAnsi="Calibri"/>
                <w:b/>
                <w:bCs/>
                <w:i w:val="false"/>
                <w:iCs w:val="false"/>
                <w:color w:val="C00000"/>
                <w:sz w:val="18"/>
                <w:szCs w:val="18"/>
              </w:rPr>
              <w:t xml:space="preserve">CCC — non noté, note échue</w:t>
            </w:r>
          </w:p>
        </w:tc>
      </w:tr>
      <w:tr>
        <w:tc>
          <w:tcPr>
            <w:tcW w:type="dxa" w:w="2346"/>
            <w:shd w:fill="FAFAFA" w:color="auto" w:val="clear"/>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Garantie</w:t>
            </w:r>
          </w:p>
        </w:tc>
        <w:tc>
          <w:tcPr>
            <w:tcW w:type="dxa" w:w="3340"/>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GAPD GCB Holding, décorrélée</w:t>
            </w:r>
          </w:p>
        </w:tc>
        <w:tc>
          <w:tcPr>
            <w:tcW w:type="dxa" w:w="3340"/>
            <w:shd w:fill="FAFAFA"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color w:val="C00000"/>
                <w:sz w:val="18"/>
                <w:szCs w:val="18"/>
              </w:rPr>
              <w:t xml:space="preserve">GAPD GCB corrélée à 99,8 %</w:t>
            </w:r>
          </w:p>
        </w:tc>
      </w:tr>
      <w:tr>
        <w:tc>
          <w:tcPr>
            <w:tcW w:type="dxa" w:w="2346"/>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Part engagements / part flux</w:t>
            </w:r>
          </w:p>
        </w:tc>
        <w:tc>
          <w:tcPr>
            <w:tcW w:type="dxa" w:w="3340"/>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19 % vs 10 %</w:t>
            </w:r>
          </w:p>
        </w:tc>
        <w:tc>
          <w:tcPr>
            <w:tcW w:type="dxa" w:w="3340"/>
            <w:tcMar>
              <w:top w:type="dxa" w:w="60"/>
              <w:left w:type="dxa" w:w="90"/>
              <w:bottom w:type="dxa" w:w="60"/>
              <w:right w:type="dxa" w:w="90"/>
            </w:tcMar>
          </w:tcPr>
          <w:p>
            <w:pPr>
              <w:spacing w:after="0" w:line="240"/>
              <w:jc w:val="center"/>
            </w:pPr>
            <w:r>
              <w:rPr>
                <w:rFonts w:ascii="Calibri" w:cs="Calibri" w:eastAsia="Calibri" w:hAnsi="Calibri"/>
                <w:b/>
                <w:bCs/>
                <w:i w:val="false"/>
                <w:iCs w:val="false"/>
                <w:color w:val="C00000"/>
                <w:sz w:val="18"/>
                <w:szCs w:val="18"/>
              </w:rPr>
              <w:t xml:space="preserve">35 % vs ~0 %</w:t>
            </w:r>
          </w:p>
        </w:tc>
      </w:tr>
      <w:tr>
        <w:tc>
          <w:tcPr>
            <w:tcW w:type="dxa" w:w="2346"/>
            <w:shd w:fill="FAFAFA" w:color="auto" w:val="clear"/>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Historique ligne spot</w:t>
            </w:r>
          </w:p>
        </w:tc>
        <w:tc>
          <w:tcPr>
            <w:tcW w:type="dxa" w:w="3340"/>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39 tirages en 7 mois, 19 impayés régularisés sous 20 j</w:t>
            </w:r>
          </w:p>
        </w:tc>
        <w:tc>
          <w:tcPr>
            <w:tcW w:type="dxa" w:w="3340"/>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1 tirage de 2 000 MXOF au 30/06/26</w:t>
            </w:r>
          </w:p>
        </w:tc>
      </w:tr>
      <w:tr>
        <w:tc>
          <w:tcPr>
            <w:tcW w:type="dxa" w:w="2346"/>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Exposition</w:t>
            </w:r>
          </w:p>
        </w:tc>
        <w:tc>
          <w:tcPr>
            <w:tcW w:type="dxa" w:w="3340"/>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23 500 MXOF</w:t>
            </w:r>
          </w:p>
        </w:tc>
        <w:tc>
          <w:tcPr>
            <w:tcW w:type="dxa" w:w="3340"/>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15 000 MXOF sollicités</w:t>
            </w:r>
          </w:p>
        </w:tc>
      </w:tr>
    </w:tbl>
    <w:p>
      <w:pPr>
        <w:spacing w:after="120" w:before="0" w:line="276"/>
      </w:pPr>
      <w:r>
        <w:rPr>
          <w:rFonts w:ascii="Calibri" w:cs="Calibri" w:eastAsia="Calibri" w:hAnsi="Calibri"/>
          <w:b/>
          <w:bCs/>
          <w:i w:val="false"/>
          <w:iCs w:val="false"/>
          <w:sz w:val="20"/>
          <w:szCs w:val="20"/>
        </w:rPr>
        <w:t xml:space="preserve">Images inversées l'une de l'autre : GCB a un bilan faible mais une rentabilité réelle et un actionnaire coté dont la garantie est décorrélée. TRANSCAO a un bilan fort, une meilleure marge industrielle, mais aucune rentabilité nette, un actionnaire qui est aussi son régulateur et n'est pas noté, et un garant qui est son unique client.</w:t>
      </w:r>
    </w:p>
    <w:p>
      <w:pPr>
        <w:pBdr>
          <w:top w:val="single" w:color="D9D9D9" w:sz="2" w:space="6"/>
          <w:bottom w:val="single" w:color="D9D9D9" w:sz="2" w:space="6"/>
          <w:left w:val="single" w:color="1F3864" w:sz="18" w:space="10"/>
          <w:right w:val="single" w:color="D9D9D9" w:sz="2" w:space="6"/>
        </w:pBdr>
        <w:spacing w:after="160" w:before="120" w:line="264"/>
        <w:ind w:left="340" w:right="340"/>
      </w:pPr>
      <w:r>
        <w:rPr>
          <w:rFonts w:ascii="Calibri" w:cs="Calibri" w:eastAsia="Calibri" w:hAnsi="Calibri"/>
          <w:b w:val="false"/>
          <w:bCs w:val="false"/>
          <w:i/>
          <w:iCs/>
          <w:sz w:val="20"/>
          <w:szCs w:val="20"/>
        </w:rPr>
        <w:t xml:space="preserve">À corriger sur le dossier GCB au passage : sa reco retenait 1 500 F/kg pour 26/27 et un budget d'achat de 157 GXOF pour 105 000 T. À 1 200 F/kg, le budget ressort à 126 GXOF et les 20 000 MXOF de spot y représentent 16 %, non 30 %.</w:t>
      </w:r>
    </w:p>
    <w:p>
      <w:pPr>
        <w:pStyle w:val="Heading1"/>
        <w:spacing w:after="160" w:before="320"/>
      </w:pPr>
      <w:r>
        <w:rPr>
          <w:rFonts w:ascii="Calibri" w:cs="Calibri" w:eastAsia="Calibri" w:hAnsi="Calibri"/>
          <w:b/>
          <w:bCs/>
          <w:color w:val="1F3864"/>
          <w:sz w:val="28"/>
          <w:szCs w:val="28"/>
        </w:rPr>
        <w:t xml:space="preserve">9. Focus sur les flux</w:t>
      </w:r>
    </w:p>
    <w:p>
      <w:pPr>
        <w:pStyle w:val="ListParagraph"/>
        <w:numPr>
          <w:ilvl w:val="0"/>
          <w:numId w:val="2"/>
        </w:numPr>
        <w:spacing w:after="80" w:line="264"/>
      </w:pPr>
      <w:r>
        <w:rPr>
          <w:rFonts w:ascii="Calibri" w:cs="Calibri" w:eastAsia="Calibri" w:hAnsi="Calibri"/>
          <w:b w:val="false"/>
          <w:bCs w:val="false"/>
          <w:i w:val="false"/>
          <w:iCs w:val="false"/>
          <w:sz w:val="20"/>
          <w:szCs w:val="20"/>
        </w:rPr>
        <w:t xml:space="preserve">FLUX 2024 et 2025 : non renseignés au CREDAPP.</w:t>
      </w:r>
    </w:p>
    <w:p>
      <w:pPr>
        <w:pStyle w:val="ListParagraph"/>
        <w:numPr>
          <w:ilvl w:val="0"/>
          <w:numId w:val="2"/>
        </w:numPr>
        <w:spacing w:after="80" w:line="264"/>
      </w:pPr>
      <w:r>
        <w:rPr>
          <w:rFonts w:ascii="Calibri" w:cs="Calibri" w:eastAsia="Calibri" w:hAnsi="Calibri"/>
          <w:b w:val="false"/>
          <w:bCs w:val="false"/>
          <w:i w:val="false"/>
          <w:iCs w:val="false"/>
          <w:sz w:val="20"/>
          <w:szCs w:val="20"/>
        </w:rPr>
        <w:t xml:space="preserve">Part de chiffre d'affaires confiée : nulle.</w:t>
      </w:r>
    </w:p>
    <w:p>
      <w:pPr>
        <w:pStyle w:val="ListParagraph"/>
        <w:numPr>
          <w:ilvl w:val="0"/>
          <w:numId w:val="2"/>
        </w:numPr>
        <w:spacing w:after="80" w:line="264"/>
      </w:pPr>
      <w:r>
        <w:rPr>
          <w:rFonts w:ascii="Calibri" w:cs="Calibri" w:eastAsia="Calibri" w:hAnsi="Calibri"/>
          <w:b w:val="false"/>
          <w:bCs w:val="false"/>
          <w:i w:val="false"/>
          <w:iCs w:val="false"/>
          <w:sz w:val="20"/>
          <w:szCs w:val="20"/>
        </w:rPr>
        <w:t xml:space="preserve">Aucun compte SGCI dans les disponibilités (note 11 : SIB, BNI, BGFI, AFRILAND, MANSA, BICICI, BSIC, BBG).</w:t>
      </w:r>
    </w:p>
    <w:p>
      <w:pPr>
        <w:pStyle w:val="ListParagraph"/>
        <w:numPr>
          <w:ilvl w:val="0"/>
          <w:numId w:val="2"/>
        </w:numPr>
        <w:spacing w:after="80" w:line="264"/>
      </w:pPr>
      <w:r>
        <w:rPr>
          <w:rFonts w:ascii="Calibri" w:cs="Calibri" w:eastAsia="Calibri" w:hAnsi="Calibri"/>
          <w:b w:val="false"/>
          <w:bCs w:val="false"/>
          <w:i w:val="false"/>
          <w:iCs w:val="false"/>
          <w:sz w:val="20"/>
          <w:szCs w:val="20"/>
        </w:rPr>
        <w:t xml:space="preserve">Aucun encours SGCI au passif de trésorerie (note 20 : BNI, Bridge Bank, BSIC).</w:t>
      </w:r>
    </w:p>
    <w:p>
      <w:pPr>
        <w:pStyle w:val="ListParagraph"/>
        <w:numPr>
          <w:ilvl w:val="0"/>
          <w:numId w:val="2"/>
        </w:numPr>
        <w:spacing w:after="80" w:line="264"/>
      </w:pPr>
      <w:r>
        <w:rPr>
          <w:rFonts w:ascii="Calibri" w:cs="Calibri" w:eastAsia="Calibri" w:hAnsi="Calibri"/>
          <w:b w:val="false"/>
          <w:bCs w:val="false"/>
          <w:i w:val="false"/>
          <w:iCs w:val="false"/>
          <w:sz w:val="20"/>
          <w:szCs w:val="20"/>
        </w:rPr>
        <w:t xml:space="preserve">SGCI absente du plan de trésorerie 26/27 remis par le client.</w:t>
      </w:r>
    </w:p>
    <w:p>
      <w:pPr>
        <w:spacing w:after="120" w:before="0" w:line="276"/>
      </w:pPr>
      <w:r>
        <w:rPr>
          <w:rFonts w:ascii="Calibri" w:cs="Calibri" w:eastAsia="Calibri" w:hAnsi="Calibri"/>
          <w:b/>
          <w:bCs/>
          <w:i w:val="false"/>
          <w:iCs w:val="false"/>
          <w:sz w:val="20"/>
          <w:szCs w:val="20"/>
        </w:rPr>
        <w:t xml:space="preserve">Quatre corroborations indépendantes du même constat : nous ne sommes pas une banque de flux pour cette relation, et le dossier propose que nous en devenions le premier créancier à 35 % du pool.</w:t>
      </w:r>
    </w:p>
    <w:p>
      <w:r>
        <w:br w:type="page"/>
      </w:r>
    </w:p>
    <w:p>
      <w:pPr>
        <w:pStyle w:val="Heading1"/>
        <w:spacing w:after="160" w:before="320"/>
      </w:pPr>
      <w:r>
        <w:rPr>
          <w:rFonts w:ascii="Calibri" w:cs="Calibri" w:eastAsia="Calibri" w:hAnsi="Calibri"/>
          <w:b/>
          <w:bCs/>
          <w:color w:val="1F3864"/>
          <w:sz w:val="28"/>
          <w:szCs w:val="28"/>
        </w:rPr>
        <w:t xml:space="preserve">10. Analyse SWOT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4513"/>
        <w:gridCol w:w="4513"/>
      </w:tblGrid>
      <w:tr>
        <w:trPr>
          <w:tblHeader/>
        </w:trPr>
        <w:tc>
          <w:tcPr>
            <w:tcW w:type="dxa" w:w="4513"/>
            <w:shd w:fill="375623"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color w:val="FFFFFF"/>
                <w:sz w:val="18"/>
                <w:szCs w:val="18"/>
              </w:rPr>
              <w:t xml:space="preserve">FORCES / OPPORTUNITÉS</w:t>
            </w:r>
          </w:p>
        </w:tc>
        <w:tc>
          <w:tcPr>
            <w:tcW w:type="dxa" w:w="4513"/>
            <w:shd w:fill="833C00"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color w:val="FFFFFF"/>
                <w:sz w:val="18"/>
                <w:szCs w:val="18"/>
              </w:rPr>
              <w:t xml:space="preserve">FAIBLESSES / MENACES</w:t>
            </w:r>
          </w:p>
        </w:tc>
      </w:tr>
      <w:tr>
        <w:tc>
          <w:tcPr>
            <w:tcW w:type="dxa" w:w="4513"/>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1. Marge industrielle retraitée de 20,1 %, contre 5 % pour GCB Cocoa CI</w:t>
            </w:r>
          </w:p>
        </w:tc>
        <w:tc>
          <w:tcPr>
            <w:tcW w:type="dxa" w:w="4513"/>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1. CAFG de -6 521 MXOF ; aucune capacité de remboursement sur cash-flow</w:t>
            </w:r>
          </w:p>
        </w:tc>
      </w:tr>
      <w:tr>
        <w:tc>
          <w:tcPr>
            <w:tcW w:type="dxa" w:w="4513"/>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2. Structure bilancielle assainie : solvabilité 41,7 %, gearing 0,37x</w:t>
            </w:r>
          </w:p>
        </w:tc>
        <w:tc>
          <w:tcPr>
            <w:tcW w:type="dxa" w:w="4513"/>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2. Trois exercices, deux déficits ; bénéfice 2024 ramené à 2 % du CA une fois la subvention retraitée</w:t>
            </w:r>
          </w:p>
        </w:tc>
      </w:tr>
      <w:tr>
        <w:tc>
          <w:tcPr>
            <w:tcW w:type="dxa" w:w="4513"/>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3. Comptes 2025 audités et certifiés sans réserve (UNICONSEIL)</w:t>
            </w:r>
          </w:p>
        </w:tc>
        <w:tc>
          <w:tcPr>
            <w:tcW w:type="dxa" w:w="4513"/>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3. Risque de contrepartie unique CCC — actionnaire, régulateur, note échue, EF non disponibles</w:t>
            </w:r>
          </w:p>
        </w:tc>
      </w:tr>
      <w:tr>
        <w:tc>
          <w:tcPr>
            <w:tcW w:type="dxa" w:w="4513"/>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4. Outil industriel neuf entré au patrimoine ; effectif +111 % pour une masse salariale +46 %</w:t>
            </w:r>
          </w:p>
        </w:tc>
        <w:tc>
          <w:tcPr>
            <w:tcW w:type="dxa" w:w="4513"/>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4. 99,8 % des créances clients sur GCB, qui est aussi le garant proposé : garantie corrélée, valeur nulle</w:t>
            </w:r>
          </w:p>
        </w:tc>
      </w:tr>
      <w:tr>
        <w:tc>
          <w:tcPr>
            <w:tcW w:type="dxa" w:w="4513"/>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5. 1 073 MXOF de primes Rainforest et Fairtrade ; certificat valide jusqu'au 12/01/2029</w:t>
            </w:r>
          </w:p>
        </w:tc>
        <w:tc>
          <w:tcPr>
            <w:tcW w:type="dxa" w:w="4513"/>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5. Toutes les sûretés réelles chez la BNI (40 685 MXOF d'engagements donnés) ; terrain en droit de jouissance</w:t>
            </w:r>
          </w:p>
        </w:tc>
      </w:tr>
      <w:tr>
        <w:tc>
          <w:tcPr>
            <w:tcW w:type="dxa" w:w="4513"/>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6. Hypothèse d'achat 26/27 validée par le prix bord champ officiel de 1 200 FCFA/kg</w:t>
            </w:r>
          </w:p>
        </w:tc>
        <w:tc>
          <w:tcPr>
            <w:tcW w:type="dxa" w:w="4513"/>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6. 45 123 MXOF de fournisseurs tiers à moins d'un an, non identifiés</w:t>
            </w:r>
          </w:p>
        </w:tc>
      </w:tr>
      <w:tr>
        <w:tc>
          <w:tcPr>
            <w:tcW w:type="dxa" w:w="4513"/>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7. Pénalités logistiques en baisse de 88 %</w:t>
            </w:r>
          </w:p>
        </w:tc>
        <w:tc>
          <w:tcPr>
            <w:tcW w:type="dxa" w:w="4513"/>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7. Part de flux nulle pour 35 % du pool</w:t>
            </w:r>
          </w:p>
        </w:tc>
      </w:tr>
      <w:tr>
        <w:tc>
          <w:tcPr>
            <w:tcW w:type="dxa" w:w="4513"/>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8. Contrats fermes GCB et TOUTON adossables à l'ASPG ; RBO caution de déblocage à 155 %</w:t>
            </w:r>
          </w:p>
        </w:tc>
        <w:tc>
          <w:tcPr>
            <w:tcW w:type="dxa" w:w="4513"/>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8. Contrôle fiscal 2022-2023 provisionné 4 769 MXOF, non mentionné au CREDAPP</w:t>
            </w:r>
          </w:p>
        </w:tc>
      </w:tr>
      <w:tr>
        <w:tc>
          <w:tcPr>
            <w:tcW w:type="dxa" w:w="4513"/>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9. Aucun impayé, 0 jour de retard sur 12 mois au BIC</w:t>
            </w:r>
          </w:p>
        </w:tc>
        <w:tc>
          <w:tcPr>
            <w:tcW w:type="dxa" w:w="4513"/>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9. Marge prévisionnelle 26/27 de 3,7 %, effacée par -4 % sur le prix de vente</w:t>
            </w:r>
          </w:p>
        </w:tc>
      </w:tr>
      <w:tr>
        <w:tc>
          <w:tcPr>
            <w:tcW w:type="dxa" w:w="4513"/>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
            </w:r>
          </w:p>
        </w:tc>
        <w:tc>
          <w:tcPr>
            <w:tcW w:type="dxa" w:w="4513"/>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10. Garanties du précédent accord non enregistrées au CBS ; concentration chaîne GCB à 38 500 MXOF</w:t>
            </w:r>
          </w:p>
        </w:tc>
      </w:tr>
    </w:tbl>
    <w:p>
      <w:r>
        <w:br w:type="page"/>
      </w:r>
    </w:p>
    <w:p>
      <w:pPr>
        <w:pStyle w:val="Heading1"/>
        <w:spacing w:after="160" w:before="320"/>
      </w:pPr>
      <w:r>
        <w:rPr>
          <w:rFonts w:ascii="Calibri" w:cs="Calibri" w:eastAsia="Calibri" w:hAnsi="Calibri"/>
          <w:b/>
          <w:bCs/>
          <w:color w:val="1F3864"/>
          <w:sz w:val="28"/>
          <w:szCs w:val="28"/>
        </w:rPr>
        <w:t xml:space="preserve">11. Avis, réserves et recommandation</w:t>
      </w:r>
    </w:p>
    <w:p>
      <w:pPr>
        <w:pStyle w:val="Heading2"/>
        <w:spacing w:after="120" w:before="260"/>
      </w:pPr>
      <w:r>
        <w:rPr>
          <w:rFonts w:ascii="Calibri" w:cs="Calibri" w:eastAsia="Calibri" w:hAnsi="Calibri"/>
          <w:b/>
          <w:bCs/>
          <w:color w:val="1F3864"/>
          <w:sz w:val="23"/>
          <w:szCs w:val="23"/>
        </w:rPr>
        <w:t xml:space="preserve">Avis</w:t>
      </w:r>
    </w:p>
    <w:p>
      <w:pPr>
        <w:spacing w:after="120" w:before="0" w:line="276"/>
      </w:pPr>
      <w:r>
        <w:rPr>
          <w:rFonts w:ascii="Calibri" w:cs="Calibri" w:eastAsia="Calibri" w:hAnsi="Calibri"/>
          <w:b/>
          <w:bCs/>
          <w:i w:val="false"/>
          <w:iCs w:val="false"/>
          <w:sz w:val="20"/>
          <w:szCs w:val="20"/>
        </w:rPr>
        <w:t xml:space="preserve">Au regard de la marge industrielle réelle une fois retraitée du mécanisme de stabilisation et des droits d'enregistrement non récurrents, de la certification sans réserve des comptes 2025, de la solidité bilancielle post-augmentation de capital, de l'adossement à des contrats fermes et de la cohérence de l'hypothèse d'achat avec le prix bord champ 26/27, nous émettons un avis favorable partiel assorti de réserves bloquantes.</w:t>
      </w:r>
    </w:p>
    <w:p>
      <w:pPr>
        <w:spacing w:after="120" w:before="0" w:line="276"/>
      </w:pPr>
      <w:r>
        <w:rPr>
          <w:rFonts w:ascii="Calibri" w:cs="Calibri" w:eastAsia="Calibri" w:hAnsi="Calibri"/>
          <w:b w:val="false"/>
          <w:bCs w:val="false"/>
          <w:i w:val="false"/>
          <w:iCs w:val="false"/>
          <w:sz w:val="20"/>
          <w:szCs w:val="20"/>
        </w:rPr>
        <w:t xml:space="preserve">La structuration doit tenir compte de l'absence de capacité de remboursement sur cash-flow, de l'absence totale de flux, de l'indisponibilité de toute sûreté réelle et de la corrélation entre le débiteur, son unique client et son garant.</w:t>
      </w:r>
    </w:p>
    <w:p>
      <w:pPr>
        <w:pStyle w:val="Heading2"/>
        <w:spacing w:after="120" w:before="260"/>
      </w:pPr>
      <w:r>
        <w:rPr>
          <w:rFonts w:ascii="Calibri" w:cs="Calibri" w:eastAsia="Calibri" w:hAnsi="Calibri"/>
          <w:b/>
          <w:bCs/>
          <w:color w:val="1F3864"/>
          <w:sz w:val="23"/>
          <w:szCs w:val="23"/>
        </w:rPr>
        <w:t xml:space="preserve">Réserves bloquantes</w:t>
      </w:r>
    </w:p>
    <w:p>
      <w:pPr>
        <w:pStyle w:val="ListParagraph"/>
        <w:numPr>
          <w:ilvl w:val="0"/>
          <w:numId w:val="3"/>
        </w:numPr>
        <w:spacing w:after="100" w:line="264"/>
      </w:pPr>
      <w:r>
        <w:rPr>
          <w:rFonts w:ascii="Calibri" w:cs="Calibri" w:eastAsia="Calibri" w:hAnsi="Calibri"/>
          <w:b w:val="false"/>
          <w:bCs w:val="false"/>
          <w:i w:val="false"/>
          <w:iCs w:val="false"/>
          <w:sz w:val="20"/>
          <w:szCs w:val="20"/>
        </w:rPr>
        <w:t xml:space="preserve">Note du groupe CCC prorogée ou renouvelée, et notation TRANSCAO-CI à jour.</w:t>
      </w:r>
    </w:p>
    <w:p>
      <w:pPr>
        <w:pStyle w:val="ListParagraph"/>
        <w:numPr>
          <w:ilvl w:val="0"/>
          <w:numId w:val="3"/>
        </w:numPr>
        <w:spacing w:after="100" w:line="264"/>
      </w:pPr>
      <w:r>
        <w:rPr>
          <w:rFonts w:ascii="Calibri" w:cs="Calibri" w:eastAsia="Calibri" w:hAnsi="Calibri"/>
          <w:b w:val="false"/>
          <w:bCs w:val="false"/>
          <w:i w:val="false"/>
          <w:iCs w:val="false"/>
          <w:sz w:val="20"/>
          <w:szCs w:val="20"/>
        </w:rPr>
        <w:t xml:space="preserve">Enregistrement effectif au CBS des garanties du précédent accord.</w:t>
      </w:r>
    </w:p>
    <w:p>
      <w:pPr>
        <w:pStyle w:val="ListParagraph"/>
        <w:numPr>
          <w:ilvl w:val="0"/>
          <w:numId w:val="3"/>
        </w:numPr>
        <w:spacing w:after="100" w:line="264"/>
      </w:pPr>
      <w:r>
        <w:rPr>
          <w:rFonts w:ascii="Calibri" w:cs="Calibri" w:eastAsia="Calibri" w:hAnsi="Calibri"/>
          <w:b w:val="false"/>
          <w:bCs w:val="false"/>
          <w:i w:val="false"/>
          <w:iCs w:val="false"/>
          <w:sz w:val="20"/>
          <w:szCs w:val="20"/>
        </w:rPr>
        <w:t xml:space="preserve">Acte 2026 constatant l'entrée de GCB au capital et pacte d'actionnaires, avec précision cession ou augmentation réservée.</w:t>
      </w:r>
    </w:p>
    <w:p>
      <w:pPr>
        <w:pStyle w:val="ListParagraph"/>
        <w:numPr>
          <w:ilvl w:val="0"/>
          <w:numId w:val="3"/>
        </w:numPr>
        <w:spacing w:after="100" w:line="264"/>
      </w:pPr>
      <w:r>
        <w:rPr>
          <w:rFonts w:ascii="Calibri" w:cs="Calibri" w:eastAsia="Calibri" w:hAnsi="Calibri"/>
          <w:b w:val="false"/>
          <w:bCs w:val="false"/>
          <w:i w:val="false"/>
          <w:iCs w:val="false"/>
          <w:sz w:val="20"/>
          <w:szCs w:val="20"/>
        </w:rPr>
        <w:t xml:space="preserve"/>
      </w:r>
      <w:r>
        <w:rPr>
          <w:rFonts w:ascii="Calibri" w:cs="Calibri" w:eastAsia="Calibri" w:hAnsi="Calibri"/>
          <w:b/>
          <w:bCs/>
          <w:i w:val="false"/>
          <w:iCs w:val="false"/>
          <w:sz w:val="20"/>
          <w:szCs w:val="20"/>
        </w:rPr>
        <w:t xml:space="preserve">Délégation notifiée des créances GCB avec domiciliation du règlement chez SGCI</w:t>
      </w:r>
      <w:r>
        <w:rPr>
          <w:rFonts w:ascii="Calibri" w:cs="Calibri" w:eastAsia="Calibri" w:hAnsi="Calibri"/>
          <w:b w:val="false"/>
          <w:bCs w:val="false"/>
          <w:i w:val="false"/>
          <w:iCs w:val="false"/>
          <w:sz w:val="20"/>
          <w:szCs w:val="20"/>
        </w:rPr>
        <w:t xml:space="preserve">, en substitution de la GAPD GCB.</w:t>
      </w:r>
    </w:p>
    <w:p>
      <w:pPr>
        <w:pStyle w:val="ListParagraph"/>
        <w:numPr>
          <w:ilvl w:val="0"/>
          <w:numId w:val="3"/>
        </w:numPr>
        <w:spacing w:after="100" w:line="264"/>
      </w:pPr>
      <w:r>
        <w:rPr>
          <w:rFonts w:ascii="Calibri" w:cs="Calibri" w:eastAsia="Calibri" w:hAnsi="Calibri"/>
          <w:b w:val="false"/>
          <w:bCs w:val="false"/>
          <w:i w:val="false"/>
          <w:iCs w:val="false"/>
          <w:sz w:val="20"/>
          <w:szCs w:val="20"/>
        </w:rPr>
        <w:t xml:space="preserve">Mécanisme de non-cumul SPOT / ASPG documenté.</w:t>
      </w:r>
    </w:p>
    <w:p>
      <w:pPr>
        <w:pStyle w:val="ListParagraph"/>
        <w:numPr>
          <w:ilvl w:val="0"/>
          <w:numId w:val="3"/>
        </w:numPr>
        <w:spacing w:after="100" w:line="264"/>
      </w:pPr>
      <w:r>
        <w:rPr>
          <w:rFonts w:ascii="Calibri" w:cs="Calibri" w:eastAsia="Calibri" w:hAnsi="Calibri"/>
          <w:b w:val="false"/>
          <w:bCs w:val="false"/>
          <w:i w:val="false"/>
          <w:iCs w:val="false"/>
          <w:sz w:val="20"/>
          <w:szCs w:val="20"/>
        </w:rPr>
        <w:t xml:space="preserve">Tableaux ESG vision CLIENT et vision TRANSACTION renseignés.</w:t>
      </w:r>
    </w:p>
    <w:p>
      <w:pPr>
        <w:pStyle w:val="ListParagraph"/>
        <w:numPr>
          <w:ilvl w:val="0"/>
          <w:numId w:val="3"/>
        </w:numPr>
        <w:spacing w:after="100" w:line="264"/>
      </w:pPr>
      <w:r>
        <w:rPr>
          <w:rFonts w:ascii="Calibri" w:cs="Calibri" w:eastAsia="Calibri" w:hAnsi="Calibri"/>
          <w:b w:val="false"/>
          <w:bCs w:val="false"/>
          <w:i w:val="false"/>
          <w:iCs w:val="false"/>
          <w:sz w:val="20"/>
          <w:szCs w:val="20"/>
        </w:rPr>
        <w:t xml:space="preserve">Conclusion écrite de l'annexe UTP au maintien en S1.</w:t>
      </w:r>
    </w:p>
    <w:p>
      <w:pPr>
        <w:pStyle w:val="Heading2"/>
        <w:spacing w:after="120" w:before="260"/>
      </w:pPr>
      <w:r>
        <w:rPr>
          <w:rFonts w:ascii="Calibri" w:cs="Calibri" w:eastAsia="Calibri" w:hAnsi="Calibri"/>
          <w:b/>
          <w:bCs/>
          <w:color w:val="1F3864"/>
          <w:sz w:val="23"/>
          <w:szCs w:val="23"/>
        </w:rPr>
        <w:t xml:space="preserve">Points de suivi</w:t>
      </w:r>
    </w:p>
    <w:p>
      <w:pPr>
        <w:pStyle w:val="ListParagraph"/>
        <w:numPr>
          <w:ilvl w:val="0"/>
          <w:numId w:val="2"/>
        </w:numPr>
        <w:spacing w:after="80" w:line="264"/>
      </w:pPr>
      <w:r>
        <w:rPr>
          <w:rFonts w:ascii="Calibri" w:cs="Calibri" w:eastAsia="Calibri" w:hAnsi="Calibri"/>
          <w:b w:val="false"/>
          <w:bCs w:val="false"/>
          <w:i w:val="false"/>
          <w:iCs w:val="false"/>
          <w:sz w:val="20"/>
          <w:szCs w:val="20"/>
        </w:rPr>
        <w:t xml:space="preserve">Niveau de flux, avec clause de réduction automatique des lignes si la domiciliation n'est pas constatée sur deux trimestres.</w:t>
      </w:r>
    </w:p>
    <w:p>
      <w:pPr>
        <w:pStyle w:val="ListParagraph"/>
        <w:numPr>
          <w:ilvl w:val="0"/>
          <w:numId w:val="2"/>
        </w:numPr>
        <w:spacing w:after="80" w:line="264"/>
      </w:pPr>
      <w:r>
        <w:rPr>
          <w:rFonts w:ascii="Calibri" w:cs="Calibri" w:eastAsia="Calibri" w:hAnsi="Calibri"/>
          <w:b w:val="false"/>
          <w:bCs w:val="false"/>
          <w:i w:val="false"/>
          <w:iCs w:val="false"/>
          <w:sz w:val="20"/>
          <w:szCs w:val="20"/>
        </w:rPr>
        <w:t xml:space="preserve">Remboursement de la ligne spot entièrement par du new cash au moins une fois l'année.</w:t>
      </w:r>
    </w:p>
    <w:p>
      <w:pPr>
        <w:pStyle w:val="ListParagraph"/>
        <w:numPr>
          <w:ilvl w:val="0"/>
          <w:numId w:val="2"/>
        </w:numPr>
        <w:spacing w:after="80" w:line="264"/>
      </w:pPr>
      <w:r>
        <w:rPr>
          <w:rFonts w:ascii="Calibri" w:cs="Calibri" w:eastAsia="Calibri" w:hAnsi="Calibri"/>
          <w:b w:val="false"/>
          <w:bCs w:val="false"/>
          <w:i w:val="false"/>
          <w:iCs w:val="false"/>
          <w:sz w:val="20"/>
          <w:szCs w:val="20"/>
        </w:rPr>
        <w:t xml:space="preserve">Communication trimestrielle du plan de trésorerie réalisé / prévu.</w:t>
      </w:r>
    </w:p>
    <w:p>
      <w:pPr>
        <w:pStyle w:val="ListParagraph"/>
        <w:numPr>
          <w:ilvl w:val="0"/>
          <w:numId w:val="2"/>
        </w:numPr>
        <w:spacing w:after="80" w:line="264"/>
      </w:pPr>
      <w:r>
        <w:rPr>
          <w:rFonts w:ascii="Calibri" w:cs="Calibri" w:eastAsia="Calibri" w:hAnsi="Calibri"/>
          <w:b w:val="false"/>
          <w:bCs w:val="false"/>
          <w:i w:val="false"/>
          <w:iCs w:val="false"/>
          <w:sz w:val="20"/>
          <w:szCs w:val="20"/>
        </w:rPr>
        <w:t xml:space="preserve">Suivi du contrôle fiscal 2022-2023 et identification des trois premiers fournisseurs hors groupe.</w:t>
      </w:r>
    </w:p>
    <w:p>
      <w:pPr>
        <w:pStyle w:val="ListParagraph"/>
        <w:numPr>
          <w:ilvl w:val="0"/>
          <w:numId w:val="2"/>
        </w:numPr>
        <w:spacing w:after="80" w:line="264"/>
      </w:pPr>
      <w:r>
        <w:rPr>
          <w:rFonts w:ascii="Calibri" w:cs="Calibri" w:eastAsia="Calibri" w:hAnsi="Calibri"/>
          <w:b w:val="false"/>
          <w:bCs w:val="false"/>
          <w:i w:val="false"/>
          <w:iCs w:val="false"/>
          <w:sz w:val="20"/>
          <w:szCs w:val="20"/>
        </w:rPr>
        <w:t xml:space="preserve">Obtention de la note 38 et test annuel de dépréciation des stocks à la valeur nette de réalisation.</w:t>
      </w:r>
    </w:p>
    <w:p>
      <w:pPr>
        <w:pStyle w:val="Heading2"/>
        <w:spacing w:after="120" w:before="260"/>
      </w:pPr>
      <w:r>
        <w:rPr>
          <w:rFonts w:ascii="Calibri" w:cs="Calibri" w:eastAsia="Calibri" w:hAnsi="Calibri"/>
          <w:b/>
          <w:bCs/>
          <w:color w:val="1F3864"/>
          <w:sz w:val="23"/>
          <w:szCs w:val="23"/>
        </w:rPr>
        <w:t xml:space="preserve">Tableau de recommandation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7"/>
        <w:gridCol w:w="1173"/>
        <w:gridCol w:w="1173"/>
        <w:gridCol w:w="1173"/>
        <w:gridCol w:w="1986"/>
        <w:gridCol w:w="1354"/>
      </w:tblGrid>
      <w:tr>
        <w:trPr>
          <w:tblHeader/>
        </w:trPr>
        <w:tc>
          <w:tcPr>
            <w:tcW w:type="dxa" w:w="2167"/>
            <w:shd w:fill="1F3864" w:color="auto" w:val="clear"/>
            <w:tcMar>
              <w:top w:type="dxa" w:w="60"/>
              <w:left w:type="dxa" w:w="90"/>
              <w:bottom w:type="dxa" w:w="60"/>
              <w:right w:type="dxa" w:w="90"/>
            </w:tcMar>
          </w:tcPr>
          <w:p>
            <w:pPr>
              <w:spacing w:after="0" w:line="240"/>
            </w:pPr>
            <w:r>
              <w:rPr>
                <w:rFonts w:ascii="Calibri" w:cs="Calibri" w:eastAsia="Calibri" w:hAnsi="Calibri"/>
                <w:b/>
                <w:bCs/>
                <w:i w:val="false"/>
                <w:iCs w:val="false"/>
                <w:color w:val="FFFFFF"/>
                <w:sz w:val="18"/>
                <w:szCs w:val="18"/>
              </w:rPr>
              <w:t xml:space="preserve">en Millions (XOF)</w:t>
            </w:r>
          </w:p>
        </w:tc>
        <w:tc>
          <w:tcPr>
            <w:tcW w:type="dxa" w:w="1173"/>
            <w:shd w:fill="1F3864"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color w:val="FFFFFF"/>
                <w:sz w:val="18"/>
                <w:szCs w:val="18"/>
              </w:rPr>
              <w:t xml:space="preserve">Encours 08/08/26</w:t>
            </w:r>
          </w:p>
        </w:tc>
        <w:tc>
          <w:tcPr>
            <w:tcW w:type="dxa" w:w="1173"/>
            <w:shd w:fill="1F3864"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color w:val="FFFFFF"/>
                <w:sz w:val="18"/>
                <w:szCs w:val="18"/>
              </w:rPr>
              <w:t xml:space="preserve">Précédentes Aut.</w:t>
            </w:r>
          </w:p>
        </w:tc>
        <w:tc>
          <w:tcPr>
            <w:tcW w:type="dxa" w:w="1173"/>
            <w:shd w:fill="1F3864"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color w:val="FFFFFF"/>
                <w:sz w:val="18"/>
                <w:szCs w:val="18"/>
              </w:rPr>
              <w:t xml:space="preserve">Aut. Sollicitées</w:t>
            </w:r>
          </w:p>
        </w:tc>
        <w:tc>
          <w:tcPr>
            <w:tcW w:type="dxa" w:w="1986"/>
            <w:shd w:fill="1F3864"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color w:val="FFFFFF"/>
                <w:sz w:val="18"/>
                <w:szCs w:val="18"/>
              </w:rPr>
              <w:t xml:space="preserve">Montant RISQ</w:t>
            </w:r>
          </w:p>
        </w:tc>
        <w:tc>
          <w:tcPr>
            <w:tcW w:type="dxa" w:w="1354"/>
            <w:shd w:fill="1F3864"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color w:val="FFFFFF"/>
                <w:sz w:val="18"/>
                <w:szCs w:val="18"/>
              </w:rPr>
              <w:t xml:space="preserve">Maturité / DVA</w:t>
            </w:r>
          </w:p>
        </w:tc>
      </w:tr>
      <w:tr>
        <w:tc>
          <w:tcPr>
            <w:tcW w:type="dxa" w:w="2167"/>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Spot</w:t>
            </w:r>
          </w:p>
        </w:tc>
        <w:tc>
          <w:tcPr>
            <w:tcW w:type="dxa" w:w="1173"/>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2 000</w:t>
            </w:r>
          </w:p>
        </w:tc>
        <w:tc>
          <w:tcPr>
            <w:tcW w:type="dxa" w:w="1173"/>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4 500</w:t>
            </w:r>
          </w:p>
        </w:tc>
        <w:tc>
          <w:tcPr>
            <w:tcW w:type="dxa" w:w="1173"/>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7 000</w:t>
            </w:r>
          </w:p>
        </w:tc>
        <w:tc>
          <w:tcPr>
            <w:tcW w:type="dxa" w:w="1986"/>
            <w:tcMar>
              <w:top w:type="dxa" w:w="60"/>
              <w:left w:type="dxa" w:w="90"/>
              <w:bottom w:type="dxa" w:w="60"/>
              <w:right w:type="dxa" w:w="90"/>
            </w:tcMar>
          </w:tcPr>
          <w:p>
            <w:pPr>
              <w:spacing w:after="0" w:line="240"/>
              <w:jc w:val="center"/>
            </w:pPr>
            <w:r>
              <w:rPr>
                <w:rFonts w:ascii="Calibri" w:cs="Calibri" w:eastAsia="Calibri" w:hAnsi="Calibri"/>
                <w:b/>
                <w:bCs/>
                <w:i w:val="false"/>
                <w:iCs w:val="false"/>
                <w:sz w:val="18"/>
                <w:szCs w:val="18"/>
              </w:rPr>
              <w:t xml:space="preserve">5 000 (+2 000 sous conditions)</w:t>
            </w:r>
          </w:p>
        </w:tc>
        <w:tc>
          <w:tcPr>
            <w:tcW w:type="dxa" w:w="1354"/>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4 MOIS / 12 MOIS</w:t>
            </w:r>
          </w:p>
        </w:tc>
      </w:tr>
      <w:tr>
        <w:tc>
          <w:tcPr>
            <w:tcW w:type="dxa" w:w="2167"/>
            <w:shd w:fill="FAFAFA" w:color="auto" w:val="clear"/>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Sous-total crédits par caisse</w:t>
            </w:r>
          </w:p>
        </w:tc>
        <w:tc>
          <w:tcPr>
            <w:tcW w:type="dxa" w:w="1173"/>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2 000</w:t>
            </w:r>
          </w:p>
        </w:tc>
        <w:tc>
          <w:tcPr>
            <w:tcW w:type="dxa" w:w="1173"/>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4 500</w:t>
            </w:r>
          </w:p>
        </w:tc>
        <w:tc>
          <w:tcPr>
            <w:tcW w:type="dxa" w:w="1173"/>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7 000</w:t>
            </w:r>
          </w:p>
        </w:tc>
        <w:tc>
          <w:tcPr>
            <w:tcW w:type="dxa" w:w="1986"/>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5 000</w:t>
            </w:r>
          </w:p>
        </w:tc>
        <w:tc>
          <w:tcPr>
            <w:tcW w:type="dxa" w:w="1354"/>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
            </w:r>
          </w:p>
        </w:tc>
      </w:tr>
      <w:tr>
        <w:tc>
          <w:tcPr>
            <w:tcW w:type="dxa" w:w="2167"/>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ASPG</w:t>
            </w:r>
          </w:p>
        </w:tc>
        <w:tc>
          <w:tcPr>
            <w:tcW w:type="dxa" w:w="1173"/>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0</w:t>
            </w:r>
          </w:p>
        </w:tc>
        <w:tc>
          <w:tcPr>
            <w:tcW w:type="dxa" w:w="1173"/>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1 500</w:t>
            </w:r>
          </w:p>
        </w:tc>
        <w:tc>
          <w:tcPr>
            <w:tcW w:type="dxa" w:w="1173"/>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5 000</w:t>
            </w:r>
          </w:p>
        </w:tc>
        <w:tc>
          <w:tcPr>
            <w:tcW w:type="dxa" w:w="1986"/>
            <w:tcMar>
              <w:top w:type="dxa" w:w="60"/>
              <w:left w:type="dxa" w:w="90"/>
              <w:bottom w:type="dxa" w:w="60"/>
              <w:right w:type="dxa" w:w="90"/>
            </w:tcMar>
          </w:tcPr>
          <w:p>
            <w:pPr>
              <w:spacing w:after="0" w:line="240"/>
              <w:jc w:val="center"/>
            </w:pPr>
            <w:r>
              <w:rPr>
                <w:rFonts w:ascii="Calibri" w:cs="Calibri" w:eastAsia="Calibri" w:hAnsi="Calibri"/>
                <w:b/>
                <w:bCs/>
                <w:i w:val="false"/>
                <w:iCs w:val="false"/>
                <w:sz w:val="18"/>
                <w:szCs w:val="18"/>
              </w:rPr>
              <w:t xml:space="preserve">5 000</w:t>
            </w:r>
          </w:p>
        </w:tc>
        <w:tc>
          <w:tcPr>
            <w:tcW w:type="dxa" w:w="1354"/>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12 MOIS</w:t>
            </w:r>
          </w:p>
        </w:tc>
      </w:tr>
      <w:tr>
        <w:tc>
          <w:tcPr>
            <w:tcW w:type="dxa" w:w="2167"/>
            <w:shd w:fill="FAFAFA" w:color="auto" w:val="clear"/>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Caution de déblocage</w:t>
            </w:r>
          </w:p>
        </w:tc>
        <w:tc>
          <w:tcPr>
            <w:tcW w:type="dxa" w:w="1173"/>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0</w:t>
            </w:r>
          </w:p>
        </w:tc>
        <w:tc>
          <w:tcPr>
            <w:tcW w:type="dxa" w:w="1173"/>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3 000</w:t>
            </w:r>
          </w:p>
        </w:tc>
        <w:tc>
          <w:tcPr>
            <w:tcW w:type="dxa" w:w="1173"/>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3 000</w:t>
            </w:r>
          </w:p>
        </w:tc>
        <w:tc>
          <w:tcPr>
            <w:tcW w:type="dxa" w:w="1986"/>
            <w:shd w:fill="FAFAFA"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8"/>
                <w:szCs w:val="18"/>
              </w:rPr>
              <w:t xml:space="preserve">3 000</w:t>
            </w:r>
          </w:p>
        </w:tc>
        <w:tc>
          <w:tcPr>
            <w:tcW w:type="dxa" w:w="1354"/>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12 MOIS</w:t>
            </w:r>
          </w:p>
        </w:tc>
      </w:tr>
      <w:tr>
        <w:tc>
          <w:tcPr>
            <w:tcW w:type="dxa" w:w="2167"/>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Sous-total crédits par signature</w:t>
            </w:r>
          </w:p>
        </w:tc>
        <w:tc>
          <w:tcPr>
            <w:tcW w:type="dxa" w:w="1173"/>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0</w:t>
            </w:r>
          </w:p>
        </w:tc>
        <w:tc>
          <w:tcPr>
            <w:tcW w:type="dxa" w:w="1173"/>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4 500</w:t>
            </w:r>
          </w:p>
        </w:tc>
        <w:tc>
          <w:tcPr>
            <w:tcW w:type="dxa" w:w="1173"/>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8 000</w:t>
            </w:r>
          </w:p>
        </w:tc>
        <w:tc>
          <w:tcPr>
            <w:tcW w:type="dxa" w:w="1986"/>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8 000</w:t>
            </w:r>
          </w:p>
        </w:tc>
        <w:tc>
          <w:tcPr>
            <w:tcW w:type="dxa" w:w="1354"/>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
            </w:r>
          </w:p>
        </w:tc>
      </w:tr>
      <w:tr>
        <w:tc>
          <w:tcPr>
            <w:tcW w:type="dxa" w:w="2167"/>
            <w:shd w:fill="F2F2F2" w:color="auto" w:val="clear"/>
            <w:tcMar>
              <w:top w:type="dxa" w:w="60"/>
              <w:left w:type="dxa" w:w="90"/>
              <w:bottom w:type="dxa" w:w="60"/>
              <w:right w:type="dxa" w:w="90"/>
            </w:tcMar>
          </w:tcPr>
          <w:p>
            <w:pPr>
              <w:spacing w:after="0" w:line="240"/>
            </w:pPr>
            <w:r>
              <w:rPr>
                <w:rFonts w:ascii="Calibri" w:cs="Calibri" w:eastAsia="Calibri" w:hAnsi="Calibri"/>
                <w:b/>
                <w:bCs/>
                <w:i w:val="false"/>
                <w:iCs w:val="false"/>
                <w:sz w:val="18"/>
                <w:szCs w:val="18"/>
              </w:rPr>
              <w:t xml:space="preserve">TOTAL</w:t>
            </w:r>
          </w:p>
        </w:tc>
        <w:tc>
          <w:tcPr>
            <w:tcW w:type="dxa" w:w="1173"/>
            <w:shd w:fill="F2F2F2"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8"/>
                <w:szCs w:val="18"/>
              </w:rPr>
              <w:t xml:space="preserve">2 000</w:t>
            </w:r>
          </w:p>
        </w:tc>
        <w:tc>
          <w:tcPr>
            <w:tcW w:type="dxa" w:w="1173"/>
            <w:shd w:fill="F2F2F2"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8"/>
                <w:szCs w:val="18"/>
              </w:rPr>
              <w:t xml:space="preserve">9 000</w:t>
            </w:r>
          </w:p>
        </w:tc>
        <w:tc>
          <w:tcPr>
            <w:tcW w:type="dxa" w:w="1173"/>
            <w:shd w:fill="F2F2F2"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8"/>
                <w:szCs w:val="18"/>
              </w:rPr>
              <w:t xml:space="preserve">15 000</w:t>
            </w:r>
          </w:p>
        </w:tc>
        <w:tc>
          <w:tcPr>
            <w:tcW w:type="dxa" w:w="1986"/>
            <w:shd w:fill="F2F2F2"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8"/>
                <w:szCs w:val="18"/>
              </w:rPr>
              <w:t xml:space="preserve">13 000</w:t>
            </w:r>
          </w:p>
        </w:tc>
        <w:tc>
          <w:tcPr>
            <w:tcW w:type="dxa" w:w="1354"/>
            <w:shd w:fill="F2F2F2"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8"/>
                <w:szCs w:val="18"/>
              </w:rPr>
              <w:t xml:space="preserve"/>
            </w:r>
          </w:p>
        </w:tc>
      </w:tr>
    </w:tbl>
    <w:p>
      <w:pPr>
        <w:spacing w:after="120" w:before="0" w:line="276"/>
      </w:pPr>
      <w:r>
        <w:rPr>
          <w:rFonts w:ascii="Calibri" w:cs="Calibri" w:eastAsia="Calibri" w:hAnsi="Calibri"/>
          <w:b w:val="false"/>
          <w:bCs w:val="false"/>
          <w:i/>
          <w:iCs/>
          <w:sz w:val="18"/>
          <w:szCs w:val="18"/>
        </w:rPr>
        <w:t xml:space="preserve">Maturité spot portée à 4 mois : le cycle achat → transformation → transport → règlement ressort à 2,5-3 mois et la ligne sera tirée à plein dès l'ouverture de la campagne principale au 1er octobre. Trois mois ne laissent aucun tampon et transforment tout retard de règlement export en impayé.</w:t>
      </w:r>
    </w:p>
    <w:p>
      <w:pPr>
        <w:pStyle w:val="Heading2"/>
        <w:spacing w:after="120" w:before="260"/>
      </w:pPr>
      <w:r>
        <w:rPr>
          <w:rFonts w:ascii="Calibri" w:cs="Calibri" w:eastAsia="Calibri" w:hAnsi="Calibri"/>
          <w:b/>
          <w:bCs/>
          <w:color w:val="1F3864"/>
          <w:sz w:val="23"/>
          <w:szCs w:val="23"/>
        </w:rPr>
        <w:t xml:space="preserve">Sécurisation à retenir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1083"/>
        <w:gridCol w:w="1444"/>
        <w:gridCol w:w="4152"/>
      </w:tblGrid>
      <w:tr>
        <w:trPr>
          <w:tblHeader/>
        </w:trPr>
        <w:tc>
          <w:tcPr>
            <w:tcW w:type="dxa" w:w="2347"/>
            <w:shd w:fill="1F3864" w:color="auto" w:val="clear"/>
            <w:tcMar>
              <w:top w:type="dxa" w:w="60"/>
              <w:left w:type="dxa" w:w="90"/>
              <w:bottom w:type="dxa" w:w="60"/>
              <w:right w:type="dxa" w:w="90"/>
            </w:tcMar>
          </w:tcPr>
          <w:p>
            <w:pPr>
              <w:spacing w:after="0" w:line="240"/>
            </w:pPr>
            <w:r>
              <w:rPr>
                <w:rFonts w:ascii="Calibri" w:cs="Calibri" w:eastAsia="Calibri" w:hAnsi="Calibri"/>
                <w:b/>
                <w:bCs/>
                <w:i w:val="false"/>
                <w:iCs w:val="false"/>
                <w:color w:val="FFFFFF"/>
                <w:sz w:val="18"/>
                <w:szCs w:val="18"/>
              </w:rPr>
              <w:t xml:space="preserve">Sûreté</w:t>
            </w:r>
          </w:p>
        </w:tc>
        <w:tc>
          <w:tcPr>
            <w:tcW w:type="dxa" w:w="1083"/>
            <w:shd w:fill="1F3864"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color w:val="FFFFFF"/>
                <w:sz w:val="18"/>
                <w:szCs w:val="18"/>
              </w:rPr>
              <w:t xml:space="preserve">Ligne</w:t>
            </w:r>
          </w:p>
        </w:tc>
        <w:tc>
          <w:tcPr>
            <w:tcW w:type="dxa" w:w="1444"/>
            <w:shd w:fill="1F3864"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color w:val="FFFFFF"/>
                <w:sz w:val="18"/>
                <w:szCs w:val="18"/>
              </w:rPr>
              <w:t xml:space="preserve">Statut</w:t>
            </w:r>
          </w:p>
        </w:tc>
        <w:tc>
          <w:tcPr>
            <w:tcW w:type="dxa" w:w="4152"/>
            <w:shd w:fill="1F3864"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color w:val="FFFFFF"/>
                <w:sz w:val="18"/>
                <w:szCs w:val="18"/>
              </w:rPr>
              <w:t xml:space="preserve">Recommandation RISQ</w:t>
            </w:r>
          </w:p>
        </w:tc>
      </w:tr>
      <w:tr>
        <w:tc>
          <w:tcPr>
            <w:tcW w:type="dxa" w:w="2347"/>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Garanties du précédent accord</w:t>
            </w:r>
          </w:p>
        </w:tc>
        <w:tc>
          <w:tcPr>
            <w:tcW w:type="dxa" w:w="1083"/>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Ensemble</w:t>
            </w:r>
          </w:p>
        </w:tc>
        <w:tc>
          <w:tcPr>
            <w:tcW w:type="dxa" w:w="1444"/>
            <w:tcMar>
              <w:top w:type="dxa" w:w="60"/>
              <w:left w:type="dxa" w:w="90"/>
              <w:bottom w:type="dxa" w:w="60"/>
              <w:right w:type="dxa" w:w="90"/>
            </w:tcMar>
          </w:tcPr>
          <w:p>
            <w:pPr>
              <w:spacing w:after="0" w:line="240"/>
              <w:jc w:val="center"/>
            </w:pPr>
            <w:r>
              <w:rPr>
                <w:rFonts w:ascii="Calibri" w:cs="Calibri" w:eastAsia="Calibri" w:hAnsi="Calibri"/>
                <w:b/>
                <w:bCs/>
                <w:i w:val="false"/>
                <w:iCs w:val="false"/>
                <w:color w:val="C00000"/>
                <w:sz w:val="18"/>
                <w:szCs w:val="18"/>
              </w:rPr>
              <w:t xml:space="preserve">Non enregistrées CBS</w:t>
            </w:r>
          </w:p>
        </w:tc>
        <w:tc>
          <w:tcPr>
            <w:tcW w:type="dxa" w:w="4152"/>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Régularisation préalable — bloquant</w:t>
            </w:r>
          </w:p>
        </w:tc>
      </w:tr>
      <w:tr>
        <w:tc>
          <w:tcPr>
            <w:tcW w:type="dxa" w:w="2347"/>
            <w:shd w:fill="FAFAFA" w:color="auto" w:val="clear"/>
            <w:tcMar>
              <w:top w:type="dxa" w:w="60"/>
              <w:left w:type="dxa" w:w="90"/>
              <w:bottom w:type="dxa" w:w="60"/>
              <w:right w:type="dxa" w:w="90"/>
            </w:tcMar>
          </w:tcPr>
          <w:p>
            <w:pPr>
              <w:spacing w:after="0" w:line="240"/>
            </w:pPr>
            <w:r>
              <w:rPr>
                <w:rFonts w:ascii="Calibri" w:cs="Calibri" w:eastAsia="Calibri" w:hAnsi="Calibri"/>
                <w:b/>
                <w:bCs/>
                <w:i w:val="false"/>
                <w:iCs w:val="false"/>
                <w:sz w:val="18"/>
                <w:szCs w:val="18"/>
              </w:rPr>
              <w:t xml:space="preserve">Délégation notifiée des créances GCB</w:t>
            </w:r>
          </w:p>
        </w:tc>
        <w:tc>
          <w:tcPr>
            <w:tcW w:type="dxa" w:w="1083"/>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Ensemble</w:t>
            </w:r>
          </w:p>
        </w:tc>
        <w:tc>
          <w:tcPr>
            <w:tcW w:type="dxa" w:w="1444"/>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À créer</w:t>
            </w:r>
          </w:p>
        </w:tc>
        <w:tc>
          <w:tcPr>
            <w:tcW w:type="dxa" w:w="4152"/>
            <w:shd w:fill="FAFAFA"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sz w:val="18"/>
                <w:szCs w:val="18"/>
              </w:rPr>
              <w:t xml:space="preserve">Sûreté centrale. GCB est notre client, règlement domicilié chez nous. Substitue la GAPD.</w:t>
            </w:r>
          </w:p>
        </w:tc>
      </w:tr>
      <w:tr>
        <w:tc>
          <w:tcPr>
            <w:tcW w:type="dxa" w:w="2347"/>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GAPD GCB 25 %</w:t>
            </w:r>
          </w:p>
        </w:tc>
        <w:tc>
          <w:tcPr>
            <w:tcW w:type="dxa" w:w="1083"/>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Ensemble</w:t>
            </w:r>
          </w:p>
        </w:tc>
        <w:tc>
          <w:tcPr>
            <w:tcW w:type="dxa" w:w="1444"/>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Proposée</w:t>
            </w:r>
          </w:p>
        </w:tc>
        <w:tc>
          <w:tcPr>
            <w:tcW w:type="dxa" w:w="4152"/>
            <w:tcMar>
              <w:top w:type="dxa" w:w="60"/>
              <w:left w:type="dxa" w:w="90"/>
              <w:bottom w:type="dxa" w:w="60"/>
              <w:right w:type="dxa" w:w="90"/>
            </w:tcMar>
          </w:tcPr>
          <w:p>
            <w:pPr>
              <w:spacing w:after="0" w:line="240"/>
              <w:jc w:val="center"/>
            </w:pPr>
            <w:r>
              <w:rPr>
                <w:rFonts w:ascii="Calibri" w:cs="Calibri" w:eastAsia="Calibri" w:hAnsi="Calibri"/>
                <w:b/>
                <w:bCs/>
                <w:i w:val="false"/>
                <w:iCs w:val="false"/>
                <w:color w:val="C00000"/>
                <w:sz w:val="18"/>
                <w:szCs w:val="18"/>
              </w:rPr>
              <w:t xml:space="preserve">Valeur nulle par corrélation — à ne pas retenir</w:t>
            </w:r>
          </w:p>
        </w:tc>
      </w:tr>
      <w:tr>
        <w:tc>
          <w:tcPr>
            <w:tcW w:type="dxa" w:w="2347"/>
            <w:shd w:fill="FAFAFA" w:color="auto" w:val="clear"/>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GAPG CCC 75 %</w:t>
            </w:r>
          </w:p>
        </w:tc>
        <w:tc>
          <w:tcPr>
            <w:tcW w:type="dxa" w:w="1083"/>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Ensemble</w:t>
            </w:r>
          </w:p>
        </w:tc>
        <w:tc>
          <w:tcPr>
            <w:tcW w:type="dxa" w:w="1444"/>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À prendre</w:t>
            </w:r>
          </w:p>
        </w:tc>
        <w:tc>
          <w:tcPr>
            <w:tcW w:type="dxa" w:w="4152"/>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Valeur indéterminée tant que la note groupe est échue</w:t>
            </w:r>
          </w:p>
        </w:tc>
      </w:tr>
      <w:tr>
        <w:tc>
          <w:tcPr>
            <w:tcW w:type="dxa" w:w="2347"/>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Nantissement stocks, tierce détention, délégation d'assurance 115 %</w:t>
            </w:r>
          </w:p>
        </w:tc>
        <w:tc>
          <w:tcPr>
            <w:tcW w:type="dxa" w:w="1083"/>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ASPG</w:t>
            </w:r>
          </w:p>
        </w:tc>
        <w:tc>
          <w:tcPr>
            <w:tcW w:type="dxa" w:w="1444"/>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À prendre</w:t>
            </w:r>
          </w:p>
        </w:tc>
        <w:tc>
          <w:tcPr>
            <w:tcW w:type="dxa" w:w="4152"/>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À maintenir</w:t>
            </w:r>
          </w:p>
        </w:tc>
      </w:tr>
      <w:tr>
        <w:tc>
          <w:tcPr>
            <w:tcW w:type="dxa" w:w="2347"/>
            <w:shd w:fill="FAFAFA" w:color="auto" w:val="clear"/>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Nantissement matériel</w:t>
            </w:r>
          </w:p>
        </w:tc>
        <w:tc>
          <w:tcPr>
            <w:tcW w:type="dxa" w:w="1083"/>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w:t>
            </w:r>
          </w:p>
        </w:tc>
        <w:tc>
          <w:tcPr>
            <w:tcW w:type="dxa" w:w="1444"/>
            <w:shd w:fill="FAFAFA" w:color="auto" w:val="clear"/>
            <w:tcMar>
              <w:top w:type="dxa" w:w="60"/>
              <w:left w:type="dxa" w:w="90"/>
              <w:bottom w:type="dxa" w:w="60"/>
              <w:right w:type="dxa" w:w="90"/>
            </w:tcMar>
          </w:tcPr>
          <w:p>
            <w:pPr>
              <w:spacing w:after="0" w:line="240"/>
              <w:jc w:val="center"/>
            </w:pPr>
            <w:r>
              <w:rPr>
                <w:rFonts w:ascii="Calibri" w:cs="Calibri" w:eastAsia="Calibri" w:hAnsi="Calibri"/>
                <w:b/>
                <w:bCs/>
                <w:i w:val="false"/>
                <w:iCs w:val="false"/>
                <w:color w:val="C00000"/>
                <w:sz w:val="18"/>
                <w:szCs w:val="18"/>
              </w:rPr>
              <w:t xml:space="preserve">Indisponible</w:t>
            </w:r>
          </w:p>
        </w:tc>
        <w:tc>
          <w:tcPr>
            <w:tcW w:type="dxa" w:w="4152"/>
            <w:shd w:fill="FAFAFA" w:color="auto" w:val="clear"/>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Déjà gagé au profit de la BNI</w:t>
            </w:r>
          </w:p>
        </w:tc>
      </w:tr>
      <w:tr>
        <w:tc>
          <w:tcPr>
            <w:tcW w:type="dxa" w:w="2347"/>
            <w:tcMar>
              <w:top w:type="dxa" w:w="60"/>
              <w:left w:type="dxa" w:w="90"/>
              <w:bottom w:type="dxa" w:w="60"/>
              <w:right w:type="dxa" w:w="90"/>
            </w:tcMar>
          </w:tcPr>
          <w:p>
            <w:pPr>
              <w:spacing w:after="0" w:line="240"/>
            </w:pPr>
            <w:r>
              <w:rPr>
                <w:rFonts w:ascii="Calibri" w:cs="Calibri" w:eastAsia="Calibri" w:hAnsi="Calibri"/>
                <w:b w:val="false"/>
                <w:bCs w:val="false"/>
                <w:i w:val="false"/>
                <w:iCs w:val="false"/>
                <w:sz w:val="18"/>
                <w:szCs w:val="18"/>
              </w:rPr>
              <w:t xml:space="preserve">Déposit progressif 5 % par LTD</w:t>
            </w:r>
          </w:p>
        </w:tc>
        <w:tc>
          <w:tcPr>
            <w:tcW w:type="dxa" w:w="1083"/>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Spot</w:t>
            </w:r>
          </w:p>
        </w:tc>
        <w:tc>
          <w:tcPr>
            <w:tcW w:type="dxa" w:w="1444"/>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À créer</w:t>
            </w:r>
          </w:p>
        </w:tc>
        <w:tc>
          <w:tcPr>
            <w:tcW w:type="dxa" w:w="4152"/>
            <w:tcMar>
              <w:top w:type="dxa" w:w="60"/>
              <w:left w:type="dxa" w:w="90"/>
              <w:bottom w:type="dxa" w:w="60"/>
              <w:right w:type="dxa" w:w="90"/>
            </w:tcMar>
          </w:tcPr>
          <w:p>
            <w:pPr>
              <w:spacing w:after="0" w:line="240"/>
              <w:jc w:val="center"/>
            </w:pPr>
            <w:r>
              <w:rPr>
                <w:rFonts w:ascii="Calibri" w:cs="Calibri" w:eastAsia="Calibri" w:hAnsi="Calibri"/>
                <w:b w:val="false"/>
                <w:bCs w:val="false"/>
                <w:i w:val="false"/>
                <w:iCs w:val="false"/>
                <w:sz w:val="18"/>
                <w:szCs w:val="18"/>
              </w:rPr>
              <w:t xml:space="preserve">Plafond cible à définir — 350 MXOF sur 7 000 est marginal</w:t>
            </w:r>
          </w:p>
        </w:tc>
      </w:tr>
    </w:tbl>
    <w:p>
      <w:r>
        <w:br w:type="page"/>
      </w:r>
    </w:p>
    <w:p>
      <w:pPr>
        <w:pStyle w:val="Heading1"/>
        <w:spacing w:after="160" w:before="320"/>
      </w:pPr>
      <w:r>
        <w:rPr>
          <w:rFonts w:ascii="Calibri" w:cs="Calibri" w:eastAsia="Calibri" w:hAnsi="Calibri"/>
          <w:b/>
          <w:bCs/>
          <w:color w:val="1F3864"/>
          <w:sz w:val="28"/>
          <w:szCs w:val="28"/>
        </w:rPr>
        <w:t xml:space="preserve">12. Questions à poser au chargé d'affaires</w:t>
      </w:r>
    </w:p>
    <w:p>
      <w:pPr>
        <w:pStyle w:val="Heading2"/>
        <w:spacing w:after="120" w:before="260"/>
      </w:pPr>
      <w:r>
        <w:rPr>
          <w:rFonts w:ascii="Calibri" w:cs="Calibri" w:eastAsia="Calibri" w:hAnsi="Calibri"/>
          <w:b/>
          <w:bCs/>
          <w:color w:val="1F3864"/>
          <w:sz w:val="23"/>
          <w:szCs w:val="23"/>
        </w:rPr>
        <w:t xml:space="preserve">A. Questions bloquantes</w:t>
      </w:r>
    </w:p>
    <w:p>
      <w:pPr>
        <w:pStyle w:val="ListParagraph"/>
        <w:numPr>
          <w:ilvl w:val="0"/>
          <w:numId w:val="4"/>
        </w:numPr>
        <w:spacing w:after="100" w:line="264"/>
      </w:pPr>
      <w:r>
        <w:rPr>
          <w:rFonts w:ascii="Calibri" w:cs="Calibri" w:eastAsia="Calibri" w:hAnsi="Calibri"/>
          <w:b w:val="false"/>
          <w:bCs w:val="false"/>
          <w:i w:val="false"/>
          <w:iCs w:val="false"/>
          <w:sz w:val="20"/>
          <w:szCs w:val="20"/>
        </w:rPr>
        <w:t xml:space="preserve"/>
      </w:r>
      <w:r>
        <w:rPr>
          <w:rFonts w:ascii="Calibri" w:cs="Calibri" w:eastAsia="Calibri" w:hAnsi="Calibri"/>
          <w:b/>
          <w:bCs/>
          <w:i w:val="false"/>
          <w:iCs w:val="false"/>
          <w:sz w:val="20"/>
          <w:szCs w:val="20"/>
        </w:rPr>
        <w:t xml:space="preserve">Note du groupe CCC.</w:t>
      </w:r>
      <w:r>
        <w:rPr>
          <w:rFonts w:ascii="Calibri" w:cs="Calibri" w:eastAsia="Calibri" w:hAnsi="Calibri"/>
          <w:b w:val="false"/>
          <w:bCs w:val="false"/>
          <w:i w:val="false"/>
          <w:iCs w:val="false"/>
          <w:sz w:val="20"/>
          <w:szCs w:val="20"/>
        </w:rPr>
        <w:t xml:space="preserve"> Où en est la prorogation de la note échue au 21/07/2026, et quand les états financiers du CCC seront-ils disponibles ? Le risque ultime du dossier est le CCC.</w:t>
      </w:r>
    </w:p>
    <w:p>
      <w:pPr>
        <w:pStyle w:val="ListParagraph"/>
        <w:numPr>
          <w:ilvl w:val="0"/>
          <w:numId w:val="4"/>
        </w:numPr>
        <w:spacing w:after="100" w:line="264"/>
      </w:pPr>
      <w:r>
        <w:rPr>
          <w:rFonts w:ascii="Calibri" w:cs="Calibri" w:eastAsia="Calibri" w:hAnsi="Calibri"/>
          <w:b w:val="false"/>
          <w:bCs w:val="false"/>
          <w:i w:val="false"/>
          <w:iCs w:val="false"/>
          <w:sz w:val="20"/>
          <w:szCs w:val="20"/>
        </w:rPr>
        <w:t xml:space="preserve"/>
      </w:r>
      <w:r>
        <w:rPr>
          <w:rFonts w:ascii="Calibri" w:cs="Calibri" w:eastAsia="Calibri" w:hAnsi="Calibri"/>
          <w:b/>
          <w:bCs/>
          <w:i w:val="false"/>
          <w:iCs w:val="false"/>
          <w:sz w:val="20"/>
          <w:szCs w:val="20"/>
        </w:rPr>
        <w:t xml:space="preserve">Notation TRANSCAO-CI.</w:t>
      </w:r>
      <w:r>
        <w:rPr>
          <w:rFonts w:ascii="Calibri" w:cs="Calibri" w:eastAsia="Calibri" w:hAnsi="Calibri"/>
          <w:b w:val="false"/>
          <w:bCs w:val="false"/>
          <w:i w:val="false"/>
          <w:iCs w:val="false"/>
          <w:sz w:val="20"/>
          <w:szCs w:val="20"/>
        </w:rPr>
        <w:t xml:space="preserve"> Quand la note échue au 09/03/2026 sera-t-elle mise à jour ? La section correspondante du CREDAPP est vide.</w:t>
      </w:r>
    </w:p>
    <w:p>
      <w:pPr>
        <w:pStyle w:val="ListParagraph"/>
        <w:numPr>
          <w:ilvl w:val="0"/>
          <w:numId w:val="4"/>
        </w:numPr>
        <w:spacing w:after="100" w:line="264"/>
      </w:pPr>
      <w:r>
        <w:rPr>
          <w:rFonts w:ascii="Calibri" w:cs="Calibri" w:eastAsia="Calibri" w:hAnsi="Calibri"/>
          <w:b w:val="false"/>
          <w:bCs w:val="false"/>
          <w:i w:val="false"/>
          <w:iCs w:val="false"/>
          <w:sz w:val="20"/>
          <w:szCs w:val="20"/>
        </w:rPr>
        <w:t xml:space="preserve"/>
      </w:r>
      <w:r>
        <w:rPr>
          <w:rFonts w:ascii="Calibri" w:cs="Calibri" w:eastAsia="Calibri" w:hAnsi="Calibri"/>
          <w:b/>
          <w:bCs/>
          <w:i w:val="false"/>
          <w:iCs w:val="false"/>
          <w:sz w:val="20"/>
          <w:szCs w:val="20"/>
        </w:rPr>
        <w:t xml:space="preserve">Garanties du précédent accord.</w:t>
      </w:r>
      <w:r>
        <w:rPr>
          <w:rFonts w:ascii="Calibri" w:cs="Calibri" w:eastAsia="Calibri" w:hAnsi="Calibri"/>
          <w:b w:val="false"/>
          <w:bCs w:val="false"/>
          <w:i w:val="false"/>
          <w:iCs w:val="false"/>
          <w:sz w:val="20"/>
          <w:szCs w:val="20"/>
        </w:rPr>
        <w:t xml:space="preserve"> Où en est DIROP FORMALISATION sur l'enregistrement au CBS, et à quelle date la confirmation est-elle attendue ?</w:t>
      </w:r>
    </w:p>
    <w:p>
      <w:pPr>
        <w:pStyle w:val="ListParagraph"/>
        <w:numPr>
          <w:ilvl w:val="0"/>
          <w:numId w:val="4"/>
        </w:numPr>
        <w:spacing w:after="100" w:line="264"/>
      </w:pPr>
      <w:r>
        <w:rPr>
          <w:rFonts w:ascii="Calibri" w:cs="Calibri" w:eastAsia="Calibri" w:hAnsi="Calibri"/>
          <w:b w:val="false"/>
          <w:bCs w:val="false"/>
          <w:i w:val="false"/>
          <w:iCs w:val="false"/>
          <w:sz w:val="20"/>
          <w:szCs w:val="20"/>
        </w:rPr>
        <w:t xml:space="preserve"/>
      </w:r>
      <w:r>
        <w:rPr>
          <w:rFonts w:ascii="Calibri" w:cs="Calibri" w:eastAsia="Calibri" w:hAnsi="Calibri"/>
          <w:b/>
          <w:bCs/>
          <w:i w:val="false"/>
          <w:iCs w:val="false"/>
          <w:sz w:val="20"/>
          <w:szCs w:val="20"/>
        </w:rPr>
        <w:t xml:space="preserve">Entrée de GCB au capital.</w:t>
      </w:r>
      <w:r>
        <w:rPr>
          <w:rFonts w:ascii="Calibri" w:cs="Calibri" w:eastAsia="Calibri" w:hAnsi="Calibri"/>
          <w:b w:val="false"/>
          <w:bCs w:val="false"/>
          <w:i w:val="false"/>
          <w:iCs w:val="false"/>
          <w:sz w:val="20"/>
          <w:szCs w:val="20"/>
        </w:rPr>
        <w:t xml:space="preserve"> Peut-on obtenir l'acte 2026 constatant la détention de 25 % ? Les comptes certifiés au 31/12/2025 (note 13) et l'acte notarié du 10/02/2025 donnent CCC 99,99 % et TRANSCAO NÉGOCE 0,01 %. S'agit-il d'une cession du CCC ou d'une augmentation réservée — autrement dit, y a-t-il eu argent frais ? Le pacte d'actionnaires est-il disponible ?</w:t>
      </w:r>
    </w:p>
    <w:p>
      <w:pPr>
        <w:pStyle w:val="ListParagraph"/>
        <w:numPr>
          <w:ilvl w:val="0"/>
          <w:numId w:val="4"/>
        </w:numPr>
        <w:spacing w:after="100" w:line="264"/>
      </w:pPr>
      <w:r>
        <w:rPr>
          <w:rFonts w:ascii="Calibri" w:cs="Calibri" w:eastAsia="Calibri" w:hAnsi="Calibri"/>
          <w:b w:val="false"/>
          <w:bCs w:val="false"/>
          <w:i w:val="false"/>
          <w:iCs w:val="false"/>
          <w:sz w:val="20"/>
          <w:szCs w:val="20"/>
        </w:rPr>
        <w:t xml:space="preserve"/>
      </w:r>
      <w:r>
        <w:rPr>
          <w:rFonts w:ascii="Calibri" w:cs="Calibri" w:eastAsia="Calibri" w:hAnsi="Calibri"/>
          <w:b/>
          <w:bCs/>
          <w:i w:val="false"/>
          <w:iCs w:val="false"/>
          <w:sz w:val="20"/>
          <w:szCs w:val="20"/>
        </w:rPr>
        <w:t xml:space="preserve">Délégation des créances GCB.</w:t>
      </w:r>
      <w:r>
        <w:rPr>
          <w:rFonts w:ascii="Calibri" w:cs="Calibri" w:eastAsia="Calibri" w:hAnsi="Calibri"/>
          <w:b w:val="false"/>
          <w:bCs w:val="false"/>
          <w:i w:val="false"/>
          <w:iCs w:val="false"/>
          <w:sz w:val="20"/>
          <w:szCs w:val="20"/>
        </w:rPr>
        <w:t xml:space="preserve"> Le client accepte-t-il une délégation notifiée avec domiciliation du règlement chez SGCI ? La note 7 établit que GCB représente 99,8 % du poste clients. Sans cette délégation, la GAPD GCB ne vaut rien : si TRANSCAO fait défaut, c'est parce que GCB ne l'a pas payée, et le garant est alors lui-même défaillant.</w:t>
      </w:r>
    </w:p>
    <w:p>
      <w:pPr>
        <w:pStyle w:val="ListParagraph"/>
        <w:numPr>
          <w:ilvl w:val="0"/>
          <w:numId w:val="4"/>
        </w:numPr>
        <w:spacing w:after="100" w:line="264"/>
      </w:pPr>
      <w:r>
        <w:rPr>
          <w:rFonts w:ascii="Calibri" w:cs="Calibri" w:eastAsia="Calibri" w:hAnsi="Calibri"/>
          <w:b w:val="false"/>
          <w:bCs w:val="false"/>
          <w:i w:val="false"/>
          <w:iCs w:val="false"/>
          <w:sz w:val="20"/>
          <w:szCs w:val="20"/>
        </w:rPr>
        <w:t xml:space="preserve"/>
      </w:r>
      <w:r>
        <w:rPr>
          <w:rFonts w:ascii="Calibri" w:cs="Calibri" w:eastAsia="Calibri" w:hAnsi="Calibri"/>
          <w:b/>
          <w:bCs/>
          <w:i w:val="false"/>
          <w:iCs w:val="false"/>
          <w:sz w:val="20"/>
          <w:szCs w:val="20"/>
        </w:rPr>
        <w:t xml:space="preserve">Sûretés disponibles.</w:t>
      </w:r>
      <w:r>
        <w:rPr>
          <w:rFonts w:ascii="Calibri" w:cs="Calibri" w:eastAsia="Calibri" w:hAnsi="Calibri"/>
          <w:b w:val="false"/>
          <w:bCs w:val="false"/>
          <w:i w:val="false"/>
          <w:iCs w:val="false"/>
          <w:sz w:val="20"/>
          <w:szCs w:val="20"/>
        </w:rPr>
        <w:t xml:space="preserve"> Le client était-il informé que l'intégralité de ses sûretés réelles est déjà consentie à la BNI (note 1 : hypothèque conditionnelle de 20 GXOF sur le site, gage sur le matériel, billet à ordre, 40 685 MXOF d'engagements donnés) ? Que reste-t-il de mobilisable à notre profit ?</w:t>
      </w:r>
    </w:p>
    <w:p>
      <w:pPr>
        <w:pStyle w:val="ListParagraph"/>
        <w:numPr>
          <w:ilvl w:val="0"/>
          <w:numId w:val="4"/>
        </w:numPr>
        <w:spacing w:after="100" w:line="264"/>
      </w:pPr>
      <w:r>
        <w:rPr>
          <w:rFonts w:ascii="Calibri" w:cs="Calibri" w:eastAsia="Calibri" w:hAnsi="Calibri"/>
          <w:b w:val="false"/>
          <w:bCs w:val="false"/>
          <w:i w:val="false"/>
          <w:iCs w:val="false"/>
          <w:sz w:val="20"/>
          <w:szCs w:val="20"/>
        </w:rPr>
        <w:t xml:space="preserve"/>
      </w:r>
      <w:r>
        <w:rPr>
          <w:rFonts w:ascii="Calibri" w:cs="Calibri" w:eastAsia="Calibri" w:hAnsi="Calibri"/>
          <w:b/>
          <w:bCs/>
          <w:i w:val="false"/>
          <w:iCs w:val="false"/>
          <w:sz w:val="20"/>
          <w:szCs w:val="20"/>
        </w:rPr>
        <w:t xml:space="preserve">Contrôle fiscal 2022-2023.</w:t>
      </w:r>
      <w:r>
        <w:rPr>
          <w:rFonts w:ascii="Calibri" w:cs="Calibri" w:eastAsia="Calibri" w:hAnsi="Calibri"/>
          <w:b w:val="false"/>
          <w:bCs w:val="false"/>
          <w:i w:val="false"/>
          <w:iCs w:val="false"/>
          <w:sz w:val="20"/>
          <w:szCs w:val="20"/>
        </w:rPr>
        <w:t xml:space="preserve"> Quel est l'état de la procédure provisionnée à 4 769 MXOF (note 28) : notification, stade, exigibilité, position du conseil ? C'est 32 % de l'exposition demandée et le CREDAPP n'en dit rien.</w:t>
      </w:r>
    </w:p>
    <w:p>
      <w:pPr>
        <w:pStyle w:val="ListParagraph"/>
        <w:numPr>
          <w:ilvl w:val="0"/>
          <w:numId w:val="4"/>
        </w:numPr>
        <w:spacing w:after="100" w:line="264"/>
      </w:pPr>
      <w:r>
        <w:rPr>
          <w:rFonts w:ascii="Calibri" w:cs="Calibri" w:eastAsia="Calibri" w:hAnsi="Calibri"/>
          <w:b w:val="false"/>
          <w:bCs w:val="false"/>
          <w:i w:val="false"/>
          <w:iCs w:val="false"/>
          <w:sz w:val="20"/>
          <w:szCs w:val="20"/>
        </w:rPr>
        <w:t xml:space="preserve"/>
      </w:r>
      <w:r>
        <w:rPr>
          <w:rFonts w:ascii="Calibri" w:cs="Calibri" w:eastAsia="Calibri" w:hAnsi="Calibri"/>
          <w:b/>
          <w:bCs/>
          <w:i w:val="false"/>
          <w:iCs w:val="false"/>
          <w:sz w:val="20"/>
          <w:szCs w:val="20"/>
        </w:rPr>
        <w:t xml:space="preserve">Non-cumul SPOT / ASPG.</w:t>
      </w:r>
      <w:r>
        <w:rPr>
          <w:rFonts w:ascii="Calibri" w:cs="Calibri" w:eastAsia="Calibri" w:hAnsi="Calibri"/>
          <w:b w:val="false"/>
          <w:bCs w:val="false"/>
          <w:i w:val="false"/>
          <w:iCs w:val="false"/>
          <w:sz w:val="20"/>
          <w:szCs w:val="20"/>
        </w:rPr>
        <w:t xml:space="preserve"> Quel mécanisme empêche le double financement des mêmes fèves — bascule automatique à la constitution du nantissement, ou plafond mixte ? À décrire au § 4 du CREDAPP.</w:t>
      </w:r>
    </w:p>
    <w:p>
      <w:pPr>
        <w:pStyle w:val="ListParagraph"/>
        <w:numPr>
          <w:ilvl w:val="0"/>
          <w:numId w:val="4"/>
        </w:numPr>
        <w:spacing w:after="100" w:line="264"/>
      </w:pPr>
      <w:r>
        <w:rPr>
          <w:rFonts w:ascii="Calibri" w:cs="Calibri" w:eastAsia="Calibri" w:hAnsi="Calibri"/>
          <w:b w:val="false"/>
          <w:bCs w:val="false"/>
          <w:i w:val="false"/>
          <w:iCs w:val="false"/>
          <w:sz w:val="20"/>
          <w:szCs w:val="20"/>
        </w:rPr>
        <w:t xml:space="preserve"/>
      </w:r>
      <w:r>
        <w:rPr>
          <w:rFonts w:ascii="Calibri" w:cs="Calibri" w:eastAsia="Calibri" w:hAnsi="Calibri"/>
          <w:b/>
          <w:bCs/>
          <w:i w:val="false"/>
          <w:iCs w:val="false"/>
          <w:sz w:val="20"/>
          <w:szCs w:val="20"/>
        </w:rPr>
        <w:t xml:space="preserve">Tableaux ESG.</w:t>
      </w:r>
      <w:r>
        <w:rPr>
          <w:rFonts w:ascii="Calibri" w:cs="Calibri" w:eastAsia="Calibri" w:hAnsi="Calibri"/>
          <w:b w:val="false"/>
          <w:bCs w:val="false"/>
          <w:i w:val="false"/>
          <w:iCs w:val="false"/>
          <w:sz w:val="20"/>
          <w:szCs w:val="20"/>
        </w:rPr>
        <w:t xml:space="preserve"> Les tableaux vision CLIENT et vision TRANSACTION sont obligatoires (exposition 22,9 MEUR &gt; 5 MEUR, financement de matières premières coché) et laissés vides. Quand seront-ils renseignés ?</w:t>
      </w:r>
    </w:p>
    <w:p>
      <w:pPr>
        <w:pStyle w:val="ListParagraph"/>
        <w:numPr>
          <w:ilvl w:val="0"/>
          <w:numId w:val="4"/>
        </w:numPr>
        <w:spacing w:after="100" w:line="264"/>
      </w:pPr>
      <w:r>
        <w:rPr>
          <w:rFonts w:ascii="Calibri" w:cs="Calibri" w:eastAsia="Calibri" w:hAnsi="Calibri"/>
          <w:b w:val="false"/>
          <w:bCs w:val="false"/>
          <w:i w:val="false"/>
          <w:iCs w:val="false"/>
          <w:sz w:val="20"/>
          <w:szCs w:val="20"/>
        </w:rPr>
        <w:t xml:space="preserve"/>
      </w:r>
      <w:r>
        <w:rPr>
          <w:rFonts w:ascii="Calibri" w:cs="Calibri" w:eastAsia="Calibri" w:hAnsi="Calibri"/>
          <w:b/>
          <w:bCs/>
          <w:i w:val="false"/>
          <w:iCs w:val="false"/>
          <w:sz w:val="20"/>
          <w:szCs w:val="20"/>
        </w:rPr>
        <w:t xml:space="preserve">Fiche UTP.</w:t>
      </w:r>
      <w:r>
        <w:rPr>
          <w:rFonts w:ascii="Calibri" w:cs="Calibri" w:eastAsia="Calibri" w:hAnsi="Calibri"/>
          <w:b w:val="false"/>
          <w:bCs w:val="false"/>
          <w:i w:val="false"/>
          <w:iCs w:val="false"/>
          <w:sz w:val="20"/>
          <w:szCs w:val="20"/>
        </w:rPr>
        <w:t xml:space="preserve"> L'annexe conclut-elle explicitement au maintien en S1 ? Le critère « détérioration brutale de la situation financière » est coché OUI.</w:t>
      </w:r>
    </w:p>
    <w:p>
      <w:pPr>
        <w:pStyle w:val="Heading2"/>
        <w:spacing w:after="120" w:before="260"/>
      </w:pPr>
      <w:r>
        <w:rPr>
          <w:rFonts w:ascii="Calibri" w:cs="Calibri" w:eastAsia="Calibri" w:hAnsi="Calibri"/>
          <w:b/>
          <w:bCs/>
          <w:color w:val="1F3864"/>
          <w:sz w:val="23"/>
          <w:szCs w:val="23"/>
        </w:rPr>
        <w:t xml:space="preserve">B. Questions importantes</w:t>
      </w:r>
    </w:p>
    <w:p>
      <w:pPr>
        <w:pStyle w:val="ListParagraph"/>
        <w:numPr>
          <w:ilvl w:val="0"/>
          <w:numId w:val="5"/>
        </w:numPr>
        <w:spacing w:after="100" w:line="264"/>
      </w:pPr>
      <w:r>
        <w:rPr>
          <w:rFonts w:ascii="Calibri" w:cs="Calibri" w:eastAsia="Calibri" w:hAnsi="Calibri"/>
          <w:b w:val="false"/>
          <w:bCs w:val="false"/>
          <w:i w:val="false"/>
          <w:iCs w:val="false"/>
          <w:sz w:val="20"/>
          <w:szCs w:val="20"/>
        </w:rPr>
        <w:t xml:space="preserve"/>
      </w:r>
      <w:r>
        <w:rPr>
          <w:rFonts w:ascii="Calibri" w:cs="Calibri" w:eastAsia="Calibri" w:hAnsi="Calibri"/>
          <w:b/>
          <w:bCs/>
          <w:i w:val="false"/>
          <w:iCs w:val="false"/>
          <w:sz w:val="20"/>
          <w:szCs w:val="20"/>
        </w:rPr>
        <w:t xml:space="preserve">Écart d'encours.</w:t>
      </w:r>
      <w:r>
        <w:rPr>
          <w:rFonts w:ascii="Calibri" w:cs="Calibri" w:eastAsia="Calibri" w:hAnsi="Calibri"/>
          <w:b w:val="false"/>
          <w:bCs w:val="false"/>
          <w:i w:val="false"/>
          <w:iCs w:val="false"/>
          <w:sz w:val="20"/>
          <w:szCs w:val="20"/>
        </w:rPr>
        <w:t xml:space="preserve"> La colonne « Encours au 08/08/26 » affiche 9 000 MXOF, qui est l'autorisation. L'encours effectif est de 2 000 (spot tiré le 30/06). La hausse réelle est donc de 2 000 → 15 000. Confirmer et justifier sur cette base.</w:t>
      </w:r>
    </w:p>
    <w:p>
      <w:pPr>
        <w:pStyle w:val="ListParagraph"/>
        <w:numPr>
          <w:ilvl w:val="0"/>
          <w:numId w:val="5"/>
        </w:numPr>
        <w:spacing w:after="100" w:line="264"/>
      </w:pPr>
      <w:r>
        <w:rPr>
          <w:rFonts w:ascii="Calibri" w:cs="Calibri" w:eastAsia="Calibri" w:hAnsi="Calibri"/>
          <w:b w:val="false"/>
          <w:bCs w:val="false"/>
          <w:i w:val="false"/>
          <w:iCs w:val="false"/>
          <w:sz w:val="20"/>
          <w:szCs w:val="20"/>
        </w:rPr>
        <w:t xml:space="preserve"/>
      </w:r>
      <w:r>
        <w:rPr>
          <w:rFonts w:ascii="Calibri" w:cs="Calibri" w:eastAsia="Calibri" w:hAnsi="Calibri"/>
          <w:b/>
          <w:bCs/>
          <w:i w:val="false"/>
          <w:iCs w:val="false"/>
          <w:sz w:val="20"/>
          <w:szCs w:val="20"/>
        </w:rPr>
        <w:t xml:space="preserve">Fournisseurs hors groupe.</w:t>
      </w:r>
      <w:r>
        <w:rPr>
          <w:rFonts w:ascii="Calibri" w:cs="Calibri" w:eastAsia="Calibri" w:hAnsi="Calibri"/>
          <w:b w:val="false"/>
          <w:bCs w:val="false"/>
          <w:i w:val="false"/>
          <w:iCs w:val="false"/>
          <w:sz w:val="20"/>
          <w:szCs w:val="20"/>
        </w:rPr>
        <w:t xml:space="preserve"> Qui sont les trois premiers ? Ils portent 45 123 MXOF à moins d'un an (note 17, 96 % du poste). S'agit-il de SITAPA, également fournisseur unique de GCB Cocoa CI ? Quelle ancienneté, et un protocole d'apurement est-il en cours ?</w:t>
      </w:r>
    </w:p>
    <w:p>
      <w:pPr>
        <w:pStyle w:val="ListParagraph"/>
        <w:numPr>
          <w:ilvl w:val="0"/>
          <w:numId w:val="5"/>
        </w:numPr>
        <w:spacing w:after="100" w:line="264"/>
      </w:pPr>
      <w:r>
        <w:rPr>
          <w:rFonts w:ascii="Calibri" w:cs="Calibri" w:eastAsia="Calibri" w:hAnsi="Calibri"/>
          <w:b w:val="false"/>
          <w:bCs w:val="false"/>
          <w:i w:val="false"/>
          <w:iCs w:val="false"/>
          <w:sz w:val="20"/>
          <w:szCs w:val="20"/>
        </w:rPr>
        <w:t xml:space="preserve"/>
      </w:r>
      <w:r>
        <w:rPr>
          <w:rFonts w:ascii="Calibri" w:cs="Calibri" w:eastAsia="Calibri" w:hAnsi="Calibri"/>
          <w:b/>
          <w:bCs/>
          <w:i w:val="false"/>
          <w:iCs w:val="false"/>
          <w:sz w:val="20"/>
          <w:szCs w:val="20"/>
        </w:rPr>
        <w:t xml:space="preserve">Réalisé à fin août 2026.</w:t>
      </w:r>
      <w:r>
        <w:rPr>
          <w:rFonts w:ascii="Calibri" w:cs="Calibri" w:eastAsia="Calibri" w:hAnsi="Calibri"/>
          <w:b w:val="false"/>
          <w:bCs w:val="false"/>
          <w:i w:val="false"/>
          <w:iCs w:val="false"/>
          <w:sz w:val="20"/>
          <w:szCs w:val="20"/>
        </w:rPr>
        <w:t xml:space="preserve"> Le CA à fin mai ressort à 13 790 MXOF, soit un rythme annualisé de 33 GXOF contre 69 848 prévus.</w:t>
      </w:r>
    </w:p>
    <w:p>
      <w:pPr>
        <w:pStyle w:val="ListParagraph"/>
        <w:numPr>
          <w:ilvl w:val="0"/>
          <w:numId w:val="5"/>
        </w:numPr>
        <w:spacing w:after="100" w:line="264"/>
      </w:pPr>
      <w:r>
        <w:rPr>
          <w:rFonts w:ascii="Calibri" w:cs="Calibri" w:eastAsia="Calibri" w:hAnsi="Calibri"/>
          <w:b w:val="false"/>
          <w:bCs w:val="false"/>
          <w:i w:val="false"/>
          <w:iCs w:val="false"/>
          <w:sz w:val="20"/>
          <w:szCs w:val="20"/>
        </w:rPr>
        <w:t xml:space="preserve"/>
      </w:r>
      <w:r>
        <w:rPr>
          <w:rFonts w:ascii="Calibri" w:cs="Calibri" w:eastAsia="Calibri" w:hAnsi="Calibri"/>
          <w:b/>
          <w:bCs/>
          <w:i w:val="false"/>
          <w:iCs w:val="false"/>
          <w:sz w:val="20"/>
          <w:szCs w:val="20"/>
        </w:rPr>
        <w:t xml:space="preserve">Prix de vente 2026.</w:t>
      </w:r>
      <w:r>
        <w:rPr>
          <w:rFonts w:ascii="Calibri" w:cs="Calibri" w:eastAsia="Calibri" w:hAnsi="Calibri"/>
          <w:b w:val="false"/>
          <w:bCs w:val="false"/>
          <w:i w:val="false"/>
          <w:iCs w:val="false"/>
          <w:sz w:val="20"/>
          <w:szCs w:val="20"/>
        </w:rPr>
        <w:t xml:space="preserve"> Lequel retenir ? Trois valeurs coexistent : 2 559 (CREDAPP et perspectives), 2 600 (plan de trésorerie), 3 250 F/kg (plan de campagne CA).</w:t>
      </w:r>
    </w:p>
    <w:p>
      <w:pPr>
        <w:pStyle w:val="ListParagraph"/>
        <w:numPr>
          <w:ilvl w:val="0"/>
          <w:numId w:val="5"/>
        </w:numPr>
        <w:spacing w:after="100" w:line="264"/>
      </w:pPr>
      <w:r>
        <w:rPr>
          <w:rFonts w:ascii="Calibri" w:cs="Calibri" w:eastAsia="Calibri" w:hAnsi="Calibri"/>
          <w:b w:val="false"/>
          <w:bCs w:val="false"/>
          <w:i w:val="false"/>
          <w:iCs w:val="false"/>
          <w:sz w:val="20"/>
          <w:szCs w:val="20"/>
        </w:rPr>
        <w:t xml:space="preserve"/>
      </w:r>
      <w:r>
        <w:rPr>
          <w:rFonts w:ascii="Calibri" w:cs="Calibri" w:eastAsia="Calibri" w:hAnsi="Calibri"/>
          <w:b/>
          <w:bCs/>
          <w:i w:val="false"/>
          <w:iCs w:val="false"/>
          <w:sz w:val="20"/>
          <w:szCs w:val="20"/>
        </w:rPr>
        <w:t xml:space="preserve">Volume de campagne 26/27.</w:t>
      </w:r>
      <w:r>
        <w:rPr>
          <w:rFonts w:ascii="Calibri" w:cs="Calibri" w:eastAsia="Calibri" w:hAnsi="Calibri"/>
          <w:b w:val="false"/>
          <w:bCs w:val="false"/>
          <w:i w:val="false"/>
          <w:iCs w:val="false"/>
          <w:sz w:val="20"/>
          <w:szCs w:val="20"/>
        </w:rPr>
        <w:t xml:space="preserve"> 27 300 T au CREDAPP contre 45 000 T au plan de trésorerie (3 000 T/mois sur 15 mois). D'où vient l'écart ?</w:t>
      </w:r>
    </w:p>
    <w:p>
      <w:pPr>
        <w:pStyle w:val="ListParagraph"/>
        <w:numPr>
          <w:ilvl w:val="0"/>
          <w:numId w:val="5"/>
        </w:numPr>
        <w:spacing w:after="100" w:line="264"/>
      </w:pPr>
      <w:r>
        <w:rPr>
          <w:rFonts w:ascii="Calibri" w:cs="Calibri" w:eastAsia="Calibri" w:hAnsi="Calibri"/>
          <w:b w:val="false"/>
          <w:bCs w:val="false"/>
          <w:i w:val="false"/>
          <w:iCs w:val="false"/>
          <w:sz w:val="20"/>
          <w:szCs w:val="20"/>
        </w:rPr>
        <w:t xml:space="preserve"/>
      </w:r>
      <w:r>
        <w:rPr>
          <w:rFonts w:ascii="Calibri" w:cs="Calibri" w:eastAsia="Calibri" w:hAnsi="Calibri"/>
          <w:b/>
          <w:bCs/>
          <w:i w:val="false"/>
          <w:iCs w:val="false"/>
          <w:sz w:val="20"/>
          <w:szCs w:val="20"/>
        </w:rPr>
        <w:t xml:space="preserve">Contrats fermes.</w:t>
      </w:r>
      <w:r>
        <w:rPr>
          <w:rFonts w:ascii="Calibri" w:cs="Calibri" w:eastAsia="Calibri" w:hAnsi="Calibri"/>
          <w:b w:val="false"/>
          <w:bCs w:val="false"/>
          <w:i w:val="false"/>
          <w:iCs w:val="false"/>
          <w:sz w:val="20"/>
          <w:szCs w:val="20"/>
        </w:rPr>
        <w:t xml:space="preserve"> Copies des contrats GCB (2 000 T/mois) et TOUTON (1 000 T/mois) : signés, à prix fixé, sur quelle durée ? Le tableau Debl 26-27 ne montre que 3 000 T débloquées, dont deux lignes GCB sans référence de prix.</w:t>
      </w:r>
    </w:p>
    <w:p>
      <w:pPr>
        <w:pStyle w:val="ListParagraph"/>
        <w:numPr>
          <w:ilvl w:val="0"/>
          <w:numId w:val="5"/>
        </w:numPr>
        <w:spacing w:after="100" w:line="264"/>
      </w:pPr>
      <w:r>
        <w:rPr>
          <w:rFonts w:ascii="Calibri" w:cs="Calibri" w:eastAsia="Calibri" w:hAnsi="Calibri"/>
          <w:b w:val="false"/>
          <w:bCs w:val="false"/>
          <w:i w:val="false"/>
          <w:iCs w:val="false"/>
          <w:sz w:val="20"/>
          <w:szCs w:val="20"/>
        </w:rPr>
        <w:t xml:space="preserve"/>
      </w:r>
      <w:r>
        <w:rPr>
          <w:rFonts w:ascii="Calibri" w:cs="Calibri" w:eastAsia="Calibri" w:hAnsi="Calibri"/>
          <w:b/>
          <w:bCs/>
          <w:i w:val="false"/>
          <w:iCs w:val="false"/>
          <w:sz w:val="20"/>
          <w:szCs w:val="20"/>
        </w:rPr>
        <w:t xml:space="preserve">BFR de 30 GXOF.</w:t>
      </w:r>
      <w:r>
        <w:rPr>
          <w:rFonts w:ascii="Calibri" w:cs="Calibri" w:eastAsia="Calibri" w:hAnsi="Calibri"/>
          <w:b w:val="false"/>
          <w:bCs w:val="false"/>
          <w:i w:val="false"/>
          <w:iCs w:val="false"/>
          <w:sz w:val="20"/>
          <w:szCs w:val="20"/>
        </w:rPr>
        <w:t xml:space="preserve"> Sur quelle base est-il calculé, et quelle quote-part est attendue de chaque banque du pool ?</w:t>
      </w:r>
    </w:p>
    <w:p>
      <w:pPr>
        <w:pStyle w:val="ListParagraph"/>
        <w:numPr>
          <w:ilvl w:val="0"/>
          <w:numId w:val="5"/>
        </w:numPr>
        <w:spacing w:after="100" w:line="264"/>
      </w:pPr>
      <w:r>
        <w:rPr>
          <w:rFonts w:ascii="Calibri" w:cs="Calibri" w:eastAsia="Calibri" w:hAnsi="Calibri"/>
          <w:b w:val="false"/>
          <w:bCs w:val="false"/>
          <w:i w:val="false"/>
          <w:iCs w:val="false"/>
          <w:sz w:val="20"/>
          <w:szCs w:val="20"/>
        </w:rPr>
        <w:t xml:space="preserve"/>
      </w:r>
      <w:r>
        <w:rPr>
          <w:rFonts w:ascii="Calibri" w:cs="Calibri" w:eastAsia="Calibri" w:hAnsi="Calibri"/>
          <w:b/>
          <w:bCs/>
          <w:i w:val="false"/>
          <w:iCs w:val="false"/>
          <w:sz w:val="20"/>
          <w:szCs w:val="20"/>
        </w:rPr>
        <w:t xml:space="preserve">Domiciliation.</w:t>
      </w:r>
      <w:r>
        <w:rPr>
          <w:rFonts w:ascii="Calibri" w:cs="Calibri" w:eastAsia="Calibri" w:hAnsi="Calibri"/>
          <w:b w:val="false"/>
          <w:bCs w:val="false"/>
          <w:i w:val="false"/>
          <w:iCs w:val="false"/>
          <w:sz w:val="20"/>
          <w:szCs w:val="20"/>
        </w:rPr>
        <w:t xml:space="preserve"> Quel volume de flux le client s'engage-t-il à domicilier, sur quel horizon, et accepte-t-il une clause de réduction automatique des lignes en cas de non-respect sur deux trimestres ? Nous n'apparaissons ni dans ses disponibilités (note 11), ni dans ses concours (note 20), ni dans son plan de trésorerie 26/27.</w:t>
      </w:r>
    </w:p>
    <w:p>
      <w:pPr>
        <w:pStyle w:val="ListParagraph"/>
        <w:numPr>
          <w:ilvl w:val="0"/>
          <w:numId w:val="5"/>
        </w:numPr>
        <w:spacing w:after="100" w:line="264"/>
      </w:pPr>
      <w:r>
        <w:rPr>
          <w:rFonts w:ascii="Calibri" w:cs="Calibri" w:eastAsia="Calibri" w:hAnsi="Calibri"/>
          <w:b w:val="false"/>
          <w:bCs w:val="false"/>
          <w:i w:val="false"/>
          <w:iCs w:val="false"/>
          <w:sz w:val="20"/>
          <w:szCs w:val="20"/>
        </w:rPr>
        <w:t xml:space="preserve"/>
      </w:r>
      <w:r>
        <w:rPr>
          <w:rFonts w:ascii="Calibri" w:cs="Calibri" w:eastAsia="Calibri" w:hAnsi="Calibri"/>
          <w:b/>
          <w:bCs/>
          <w:i w:val="false"/>
          <w:iCs w:val="false"/>
          <w:sz w:val="20"/>
          <w:szCs w:val="20"/>
        </w:rPr>
        <w:t xml:space="preserve">Note 38 — événements postérieurs à la clôture.</w:t>
      </w:r>
      <w:r>
        <w:rPr>
          <w:rFonts w:ascii="Calibri" w:cs="Calibri" w:eastAsia="Calibri" w:hAnsi="Calibri"/>
          <w:b w:val="false"/>
          <w:bCs w:val="false"/>
          <w:i w:val="false"/>
          <w:iCs w:val="false"/>
          <w:sz w:val="20"/>
          <w:szCs w:val="20"/>
        </w:rPr>
        <w:t xml:space="preserve"> Cochée applicable en fiche R4 mais absente de la liasse transmise. C'est la note la plus utile compte tenu de l'effondrement des cours de décembre 2025.</w:t>
      </w:r>
    </w:p>
    <w:p>
      <w:pPr>
        <w:pStyle w:val="ListParagraph"/>
        <w:numPr>
          <w:ilvl w:val="0"/>
          <w:numId w:val="5"/>
        </w:numPr>
        <w:spacing w:after="100" w:line="264"/>
      </w:pPr>
      <w:r>
        <w:rPr>
          <w:rFonts w:ascii="Calibri" w:cs="Calibri" w:eastAsia="Calibri" w:hAnsi="Calibri"/>
          <w:b w:val="false"/>
          <w:bCs w:val="false"/>
          <w:i w:val="false"/>
          <w:iCs w:val="false"/>
          <w:sz w:val="20"/>
          <w:szCs w:val="20"/>
        </w:rPr>
        <w:t xml:space="preserve"/>
      </w:r>
      <w:r>
        <w:rPr>
          <w:rFonts w:ascii="Calibri" w:cs="Calibri" w:eastAsia="Calibri" w:hAnsi="Calibri"/>
          <w:b/>
          <w:bCs/>
          <w:i w:val="false"/>
          <w:iCs w:val="false"/>
          <w:sz w:val="20"/>
          <w:szCs w:val="20"/>
        </w:rPr>
        <w:t xml:space="preserve">Fonds commercial de 3 675 MXOF.</w:t>
      </w:r>
      <w:r>
        <w:rPr>
          <w:rFonts w:ascii="Calibri" w:cs="Calibri" w:eastAsia="Calibri" w:hAnsi="Calibri"/>
          <w:b w:val="false"/>
          <w:bCs w:val="false"/>
          <w:i w:val="false"/>
          <w:iCs w:val="false"/>
          <w:sz w:val="20"/>
          <w:szCs w:val="20"/>
        </w:rPr>
        <w:t xml:space="preserve"> Quelle est sa nature (note 3A, « fonds commercial et droit au bail », amorti) ? S'agit-il de la valorisation du droit de jouissance sur les 21 hectares d'Akoupé-Zeudji ? Peut-on obtenir la note de rapprochement entre la valeur d'apport de 73 673 MXOF et les 73 332 MXOF enregistrés en note 3A ?</w:t>
      </w:r>
    </w:p>
    <w:p>
      <w:pPr>
        <w:pStyle w:val="ListParagraph"/>
        <w:numPr>
          <w:ilvl w:val="0"/>
          <w:numId w:val="5"/>
        </w:numPr>
        <w:spacing w:after="100" w:line="264"/>
      </w:pPr>
      <w:r>
        <w:rPr>
          <w:rFonts w:ascii="Calibri" w:cs="Calibri" w:eastAsia="Calibri" w:hAnsi="Calibri"/>
          <w:b w:val="false"/>
          <w:bCs w:val="false"/>
          <w:i w:val="false"/>
          <w:iCs w:val="false"/>
          <w:sz w:val="20"/>
          <w:szCs w:val="20"/>
        </w:rPr>
        <w:t xml:space="preserve"/>
      </w:r>
      <w:r>
        <w:rPr>
          <w:rFonts w:ascii="Calibri" w:cs="Calibri" w:eastAsia="Calibri" w:hAnsi="Calibri"/>
          <w:b/>
          <w:bCs/>
          <w:i w:val="false"/>
          <w:iCs w:val="false"/>
          <w:sz w:val="20"/>
          <w:szCs w:val="20"/>
        </w:rPr>
        <w:t xml:space="preserve">Déposit progressif.</w:t>
      </w:r>
      <w:r>
        <w:rPr>
          <w:rFonts w:ascii="Calibri" w:cs="Calibri" w:eastAsia="Calibri" w:hAnsi="Calibri"/>
          <w:b w:val="false"/>
          <w:bCs w:val="false"/>
          <w:i w:val="false"/>
          <w:iCs w:val="false"/>
          <w:sz w:val="20"/>
          <w:szCs w:val="20"/>
        </w:rPr>
        <w:t xml:space="preserve"> 5 % par LTD représente environ 350 MXOF sur 7 000 de spot. Quel plafond cible, sur quelle durée de reconstitution, et que devient le mécanisme si le CCC ne peut toujours pas abonder — c'est précisément la cause du waiver d'avril 2026 ?</w:t>
      </w:r>
    </w:p>
    <w:p>
      <w:pPr>
        <w:pStyle w:val="ListParagraph"/>
        <w:numPr>
          <w:ilvl w:val="0"/>
          <w:numId w:val="5"/>
        </w:numPr>
        <w:spacing w:after="100" w:line="264"/>
      </w:pPr>
      <w:r>
        <w:rPr>
          <w:rFonts w:ascii="Calibri" w:cs="Calibri" w:eastAsia="Calibri" w:hAnsi="Calibri"/>
          <w:b w:val="false"/>
          <w:bCs w:val="false"/>
          <w:i w:val="false"/>
          <w:iCs w:val="false"/>
          <w:sz w:val="20"/>
          <w:szCs w:val="20"/>
        </w:rPr>
        <w:t xml:space="preserve"/>
      </w:r>
      <w:r>
        <w:rPr>
          <w:rFonts w:ascii="Calibri" w:cs="Calibri" w:eastAsia="Calibri" w:hAnsi="Calibri"/>
          <w:b/>
          <w:bCs/>
          <w:i w:val="false"/>
          <w:iCs w:val="false"/>
          <w:sz w:val="20"/>
          <w:szCs w:val="20"/>
        </w:rPr>
        <w:t xml:space="preserve">Pool bancaire.</w:t>
      </w:r>
      <w:r>
        <w:rPr>
          <w:rFonts w:ascii="Calibri" w:cs="Calibri" w:eastAsia="Calibri" w:hAnsi="Calibri"/>
          <w:b w:val="false"/>
          <w:bCs w:val="false"/>
          <w:i w:val="false"/>
          <w:iCs w:val="false"/>
          <w:sz w:val="20"/>
          <w:szCs w:val="20"/>
        </w:rPr>
        <w:t xml:space="preserve"> Le dossier annonce 7 banques, le tableau n'en montre que 4 avec engagements. Les autres ont-elles des lignes en instruction ? Après notre hausse, SGCI passe à 35 % du pool et devient premier banquier : l'argument du pool éclaté est à revoir.</w:t>
      </w:r>
    </w:p>
    <w:p>
      <w:pPr>
        <w:pStyle w:val="ListParagraph"/>
        <w:numPr>
          <w:ilvl w:val="0"/>
          <w:numId w:val="5"/>
        </w:numPr>
        <w:spacing w:after="100" w:line="264"/>
      </w:pPr>
      <w:r>
        <w:rPr>
          <w:rFonts w:ascii="Calibri" w:cs="Calibri" w:eastAsia="Calibri" w:hAnsi="Calibri"/>
          <w:b w:val="false"/>
          <w:bCs w:val="false"/>
          <w:i w:val="false"/>
          <w:iCs w:val="false"/>
          <w:sz w:val="20"/>
          <w:szCs w:val="20"/>
        </w:rPr>
        <w:t xml:space="preserve"/>
      </w:r>
      <w:r>
        <w:rPr>
          <w:rFonts w:ascii="Calibri" w:cs="Calibri" w:eastAsia="Calibri" w:hAnsi="Calibri"/>
          <w:b/>
          <w:bCs/>
          <w:i w:val="false"/>
          <w:iCs w:val="false"/>
          <w:sz w:val="20"/>
          <w:szCs w:val="20"/>
        </w:rPr>
        <w:t xml:space="preserve">Réforme de la carte du producteur.</w:t>
      </w:r>
      <w:r>
        <w:rPr>
          <w:rFonts w:ascii="Calibri" w:cs="Calibri" w:eastAsia="Calibri" w:hAnsi="Calibri"/>
          <w:b w:val="false"/>
          <w:bCs w:val="false"/>
          <w:i w:val="false"/>
          <w:iCs w:val="false"/>
          <w:sz w:val="20"/>
          <w:szCs w:val="20"/>
        </w:rPr>
        <w:t xml:space="preserve"> Le client est-il prêt pour l'obligation, à compter de septembre 2026, de dématérialiser toutes les transactions ? Impact sur le sourcing et les délais de décaissement en début de campagne.</w:t>
      </w:r>
    </w:p>
    <w:p>
      <w:pPr>
        <w:pStyle w:val="ListParagraph"/>
        <w:numPr>
          <w:ilvl w:val="0"/>
          <w:numId w:val="5"/>
        </w:numPr>
        <w:spacing w:after="100" w:line="264"/>
      </w:pPr>
      <w:r>
        <w:rPr>
          <w:rFonts w:ascii="Calibri" w:cs="Calibri" w:eastAsia="Calibri" w:hAnsi="Calibri"/>
          <w:b w:val="false"/>
          <w:bCs w:val="false"/>
          <w:i w:val="false"/>
          <w:iCs w:val="false"/>
          <w:sz w:val="20"/>
          <w:szCs w:val="20"/>
        </w:rPr>
        <w:t xml:space="preserve"/>
      </w:r>
      <w:r>
        <w:rPr>
          <w:rFonts w:ascii="Calibri" w:cs="Calibri" w:eastAsia="Calibri" w:hAnsi="Calibri"/>
          <w:b/>
          <w:bCs/>
          <w:i w:val="false"/>
          <w:iCs w:val="false"/>
          <w:sz w:val="20"/>
          <w:szCs w:val="20"/>
        </w:rPr>
        <w:t xml:space="preserve">Fichier CAS/MRAC.</w:t>
      </w:r>
      <w:r>
        <w:rPr>
          <w:rFonts w:ascii="Calibri" w:cs="Calibri" w:eastAsia="Calibri" w:hAnsi="Calibri"/>
          <w:b w:val="false"/>
          <w:bCs w:val="false"/>
          <w:i w:val="false"/>
          <w:iCs w:val="false"/>
          <w:sz w:val="20"/>
          <w:szCs w:val="20"/>
        </w:rPr>
        <w:t xml:space="preserve"> Sera-t-il joint ? Il porte encore l'échéancier d'un autre dossier (200 MXOF / 36 mois / 7,5 %) et des hypothèses incohérentes. En l'état il fragilise le dossier, et le test de couverture d'annuités n'est pas pertinent pour une demande 100 % CT.</w:t>
      </w:r>
    </w:p>
    <w:p>
      <w:pPr>
        <w:pStyle w:val="ListParagraph"/>
        <w:numPr>
          <w:ilvl w:val="0"/>
          <w:numId w:val="5"/>
        </w:numPr>
        <w:spacing w:after="100" w:line="264"/>
      </w:pPr>
      <w:r>
        <w:rPr>
          <w:rFonts w:ascii="Calibri" w:cs="Calibri" w:eastAsia="Calibri" w:hAnsi="Calibri"/>
          <w:b w:val="false"/>
          <w:bCs w:val="false"/>
          <w:i w:val="false"/>
          <w:iCs w:val="false"/>
          <w:sz w:val="20"/>
          <w:szCs w:val="20"/>
        </w:rPr>
        <w:t xml:space="preserve"/>
      </w:r>
      <w:r>
        <w:rPr>
          <w:rFonts w:ascii="Calibri" w:cs="Calibri" w:eastAsia="Calibri" w:hAnsi="Calibri"/>
          <w:b/>
          <w:bCs/>
          <w:i w:val="false"/>
          <w:iCs w:val="false"/>
          <w:sz w:val="20"/>
          <w:szCs w:val="20"/>
        </w:rPr>
        <w:t xml:space="preserve">Tableau flux et rentabilité SG.</w:t>
      </w:r>
      <w:r>
        <w:rPr>
          <w:rFonts w:ascii="Calibri" w:cs="Calibri" w:eastAsia="Calibri" w:hAnsi="Calibri"/>
          <w:b w:val="false"/>
          <w:bCs w:val="false"/>
          <w:i w:val="false"/>
          <w:iCs w:val="false"/>
          <w:sz w:val="20"/>
          <w:szCs w:val="20"/>
        </w:rPr>
        <w:t xml:space="preserve"> Entièrement vide, et le tableau historique porte sur 2023-2024 alors que le texte annonce 2024-2025. À renseigner avant transmission.</w:t>
      </w:r>
    </w:p>
    <w:p>
      <w:pPr>
        <w:spacing w:after="100"/>
      </w:pPr>
    </w:p>
    <w:p>
      <w:pPr>
        <w:pBdr>
          <w:top w:val="single" w:color="1F3864" w:sz="8" w:space="8"/>
        </w:pBdr>
        <w:spacing w:before="300"/>
      </w:pPr>
      <w:r>
        <w:rPr>
          <w:rFonts w:ascii="Calibri" w:cs="Calibri" w:eastAsia="Calibri" w:hAnsi="Calibri"/>
          <w:b w:val="false"/>
          <w:bCs w:val="false"/>
          <w:i/>
          <w:iCs/>
          <w:color w:val="555555"/>
          <w:sz w:val="17"/>
          <w:szCs w:val="17"/>
        </w:rPr>
        <w:t xml:space="preserve">Analyse établie sur la base du CREDAPP 08/2026 vdef, des états financiers 2025 audités et certifiés sans réserve par UNICONSEIL et de leurs notes annexes, du plan de trésorerie et des prévisions de campagne 2026-2027, du rapport perspectives 2026, du rapport BIC du 08/08/2026, du PV d'augmentation de capital du 10/02/2025, du PV de conseil d'administration du 29/04/2025 et du certificat Rainforest Alliance SCS-0019-04.</w:t>
      </w:r>
    </w:p>
    <w:sectPr>
      <w:headerReference w:type="default" r:id="rId7"/>
      <w:footerReference w:type="default" r:id="rId8"/>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C1 — Document interne — 09/2026 — 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2" w:space="4"/>
      </w:pBdr>
      <w:jc w:val="right"/>
    </w:pPr>
    <w:r>
      <w:rPr>
        <w:rFonts w:ascii="Calibri" w:cs="Calibri" w:eastAsia="Calibri" w:hAnsi="Calibri"/>
        <w:b w:val="false"/>
        <w:bCs w:val="false"/>
        <w:i w:val="false"/>
        <w:iCs w:val="false"/>
        <w:color w:val="999999"/>
        <w:sz w:val="16"/>
        <w:szCs w:val="16"/>
      </w:rPr>
      <w:t xml:space="preserve">RECO /RISQ — TRANSCAO-CÔTE D'IVOIRE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abstractNum w:abstractNumId="3" w15:restartNumberingAfterBreak="0">
    <w:multiLevelType w:val="hybridMultilevel"/>
    <w:lvl w:ilvl="0" w15:tentative="1">
      <w:start w:val="1"/>
      <w:numFmt w:val="decimal"/>
      <w:lvlText w:val="%1."/>
      <w:lvlJc w:val="start"/>
      <w:pPr>
        <w:ind w:left="460" w:hanging="340"/>
      </w:pPr>
    </w:lvl>
  </w:abstractNum>
  <w:abstractNum w:abstractNumId="4" w15:restartNumberingAfterBreak="0">
    <w:multiLevelType w:val="hybridMultilevel"/>
    <w:lvl w:ilvl="0" w15:tentative="1">
      <w:start w:val="1"/>
      <w:numFmt w:val="decimal"/>
      <w:lvlText w:val="%1."/>
      <w:lvlJc w:val="start"/>
      <w:pPr>
        <w:ind w:left="460" w:hanging="340"/>
      </w:pPr>
    </w:lvl>
  </w:abstractNum>
  <w:abstractNum w:abstractNumId="5" w15:restartNumberingAfterBreak="0">
    <w:multiLevelType w:val="hybridMultilevel"/>
    <w:lvl w:ilvl="0" w15:tentative="1">
      <w:start w:val="1"/>
      <w:numFmt w:val="decimal"/>
      <w:lvlText w:val="%1."/>
      <w:lvlJc w:val="start"/>
      <w:pPr>
        <w:ind w:left="46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 RISQ — TRANSCAO-CI</dc:title>
  <dc:creator>RISQ SGCI</dc:creator>
  <cp:lastModifiedBy>Un-named</cp:lastModifiedBy>
  <cp:revision>1</cp:revision>
  <dcterms:created xsi:type="dcterms:W3CDTF">2026-09-02T16:42:06.470Z</dcterms:created>
  <dcterms:modified xsi:type="dcterms:W3CDTF">2026-09-02T16:42:06.470Z</dcterms:modified>
</cp:coreProperties>
</file>

<file path=docProps/custom.xml><?xml version="1.0" encoding="utf-8"?>
<Properties xmlns="http://schemas.openxmlformats.org/officeDocument/2006/custom-properties" xmlns:vt="http://schemas.openxmlformats.org/officeDocument/2006/docPropsVTypes"/>
</file>