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Calibri" w:cs="Calibri" w:eastAsia="Calibri" w:hAnsi="Calibri"/>
          <w:b/>
          <w:bCs/>
          <w:color w:val="C00000"/>
          <w:sz w:val="18"/>
          <w:szCs w:val="18"/>
        </w:rPr>
        <w:t xml:space="preserve">/RISQ SGCI</w:t>
      </w:r>
    </w:p>
    <w:p>
      <w:pPr>
        <w:pBdr>
          <w:bottom w:val="single" w:color="C00000" w:sz="12"/>
        </w:pBdr>
        <w:spacing w:after="40"/>
      </w:pPr>
      <w:r>
        <w:rPr>
          <w:rFonts w:ascii="Calibri" w:cs="Calibri" w:eastAsia="Calibri" w:hAnsi="Calibri"/>
          <w:b/>
          <w:bCs/>
          <w:sz w:val="22"/>
          <w:szCs w:val="22"/>
        </w:rPr>
        <w:t xml:space="preserve">SCOOPS KRIHIRI — Renouvellement à la hausse du crédit de campagne et mise en place d’un CB</w:t>
      </w:r>
    </w:p>
    <w:p>
      <w:pPr>
        <w:spacing w:after="200" w:line="260"/>
        <w:jc w:val="both"/>
      </w:pPr>
      <w:r>
        <w:rPr>
          <w:rFonts w:ascii="Calibri" w:cs="Calibri" w:eastAsia="Calibri" w:hAnsi="Calibri"/>
          <w:i/>
          <w:iCs/>
          <w:sz w:val="16"/>
          <w:szCs w:val="16"/>
        </w:rPr>
        <w:t xml:space="preserve">N° Client : 500817887   |   RCT : BMF2281   |   Booking : SGCI   |   Analyst : WOMBLEGNON EMMANUEL MARVIN ELYOT</w:t>
      </w:r>
    </w:p>
    <w:p>
      <w:pPr>
        <w:shd w:fill="D9D9D9" w:val="clear"/>
        <w:spacing w:after="120" w:before="240"/>
      </w:pPr>
      <w:r>
        <w:rPr>
          <w:rFonts w:ascii="Calibri" w:cs="Calibri" w:eastAsia="Calibri" w:hAnsi="Calibri"/>
          <w:b/>
          <w:bCs/>
          <w:sz w:val="20"/>
          <w:szCs w:val="20"/>
        </w:rPr>
        <w:t xml:space="preserve">BILAN DE LA CAMPAGNE 2025/2026</w:t>
      </w:r>
    </w:p>
    <w:p>
      <w:pPr>
        <w:spacing w:after="100" w:line="260"/>
        <w:jc w:val="both"/>
      </w:pPr>
      <w:r>
        <w:rPr>
          <w:rFonts w:ascii="Calibri" w:cs="Calibri" w:eastAsia="Calibri" w:hAnsi="Calibri"/>
          <w:sz w:val="18"/>
          <w:szCs w:val="18"/>
        </w:rPr>
        <w:t xml:space="preserve">Sur la campagne 2025/2026, la relation a commercialisé 2 356 T de cacao sur huit mois d’activité, dont 2 150 T sur la grande campagne (oct-25 à mars-26) et 206 T sur la petite traite ouverte en avril 2026. Les livraisons ont été réalisées à hauteur de 81 % au profit de CARGILL (1 905 T) et 19 % au profit d’AFRICA SOURCING (451 T).</w:t>
      </w:r>
    </w:p>
    <w:p>
      <w:pPr>
        <w:spacing w:after="100" w:line="260"/>
        <w:jc w:val="both"/>
      </w:pPr>
      <w:r>
        <w:rPr>
          <w:rFonts w:ascii="Calibri" w:cs="Calibri" w:eastAsia="Calibri" w:hAnsi="Calibri"/>
          <w:sz w:val="18"/>
          <w:szCs w:val="18"/>
        </w:rPr>
        <w:t xml:space="preserve">Les achats bord champ ressortent à 5 407 MXOF, sur la base d’un prix retenu de 2 400 XOF/kg en grande campagne et de 1 200 XOF/kg en petite traite, soit 2 295 XOF/kg en moyenne pondérée. Les ventes s’établissent à 6 072 MXOF, aux prix de 2 700 XOF/kg puis 1 300 XOF/kg, dégageant une marge brute de 666 MXOF, soit 11 % du CA et 283 XOF/kg. Après charges annexes de 139 MXOF, le solde de campagne s’élève à 527 MXOF, avant frais financiers.</w:t>
      </w:r>
    </w:p>
    <w:p>
      <w:pPr>
        <w:spacing w:after="100" w:line="260"/>
        <w:jc w:val="both"/>
      </w:pPr>
      <w:r>
        <w:rPr>
          <w:rFonts w:ascii="Calibri" w:cs="Calibri" w:eastAsia="Calibri" w:hAnsi="Calibri"/>
          <w:sz w:val="18"/>
          <w:szCs w:val="18"/>
        </w:rPr>
        <w:t xml:space="preserve">L’effondrement des cours en cours de campagne s’est traduit par une division par deux du prix bord champ à l’ouverture de la petite traite et par une contraction des volumes : 103 T commercialisées en moyenne mensuelle sur avril-mai 2026, contre 358 T sur la grande campagne. La marge unitaire a suivi la même trajectoire, de 300 à 100 XOF/kg.</w:t>
      </w:r>
    </w:p>
    <w:p>
      <w:pPr>
        <w:spacing w:after="160" w:line="260"/>
        <w:jc w:val="both"/>
      </w:pPr>
      <w:r>
        <w:rPr>
          <w:rFonts w:ascii="Calibri" w:cs="Calibri" w:eastAsia="Calibri" w:hAnsi="Calibri"/>
          <w:sz w:val="18"/>
          <w:szCs w:val="18"/>
        </w:rPr>
        <w:t xml:space="preserve">Notre ligne de spot de 500 MXOF couvrait 9,2 % des achats de la campagne, soit l’équivalent de trois semaines d’approvisionnement au rythme moyen de 676 MXOF par mois, et de deux semaines et demie au rythme de la grande campagne (860 MXOF par mois).</w:t>
      </w:r>
    </w:p>
    <w:tbl>
      <w:tblPr>
        <w:tblW w:type="dxa" w:w="9638"/>
        <w:tblBorders>
          <w:top w:val="single" w:color="808080" w:sz="4"/>
          <w:left w:val="single" w:color="808080" w:sz="4"/>
          <w:bottom w:val="single" w:color="808080" w:sz="4"/>
          <w:right w:val="single" w:color="808080" w:sz="4"/>
          <w:insideH w:val="single" w:color="A6A6A6" w:sz="2"/>
          <w:insideV w:val="single" w:color="A6A6A6" w:sz="2"/>
        </w:tblBorders>
      </w:tblPr>
      <w:tblGrid>
        <w:gridCol w:w="3038"/>
        <w:gridCol w:w="2200"/>
        <w:gridCol w:w="2200"/>
        <w:gridCol w:w="2200"/>
      </w:tblGrid>
      <w:tr>
        <w:trPr>
          <w:tblHeader/>
        </w:trPr>
        <w:tc>
          <w:tcPr>
            <w:tcW w:type="dxa" w:w="3038"/>
            <w:shd w:fill="D9D9D9"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Campagne 2025/2026 (réalisé)</w:t>
            </w:r>
          </w:p>
        </w:tc>
        <w:tc>
          <w:tcPr>
            <w:tcW w:type="dxa" w:w="22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Grande campagne oct-25 → mars-26 (6 mois)</w:t>
            </w:r>
          </w:p>
        </w:tc>
        <w:tc>
          <w:tcPr>
            <w:tcW w:type="dxa" w:w="22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Petite traite avr → mai-26 (2 mois)</w:t>
            </w:r>
          </w:p>
        </w:tc>
        <w:tc>
          <w:tcPr>
            <w:tcW w:type="dxa" w:w="22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Total (8 mois)</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Volume commercialisé</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2 150 T</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206 T</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2 356 T</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Prix d’achat bord champ</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2 400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1 200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2 295 XOF/kg</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Prix de vente</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2 700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1 300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2 578 XOF/kg</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Achats</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5 160 MXOF</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247 MXOF</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5 407 MXOF</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Chiffre d’affaires</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5 805 MXOF</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267 MXOF</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6 072 MXOF</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Marge brute</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645 MXOF</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21 MXOF</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666 MXOF</w:t>
            </w:r>
          </w:p>
        </w:tc>
      </w:tr>
      <w:tr>
        <w:tc>
          <w:tcPr>
            <w:tcW w:type="dxa" w:w="30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Marge unitaire</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300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100 XOF/kg</w:t>
            </w:r>
          </w:p>
        </w:tc>
        <w:tc>
          <w:tcPr>
            <w:tcW w:type="dxa" w:w="2200"/>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283 XOF/kg</w:t>
            </w:r>
          </w:p>
        </w:tc>
      </w:tr>
    </w:tbl>
    <w:p>
      <w:pPr>
        <w:spacing w:after="80" w:line="260"/>
        <w:jc w:val="both"/>
      </w:pPr>
      <w:r>
        <w:rPr>
          <w:rFonts w:ascii="Calibri" w:cs="Calibri" w:eastAsia="Calibri" w:hAnsi="Calibri"/>
          <w:sz w:val="18"/>
          <w:szCs w:val="18"/>
        </w:rPr>
        <w:t xml:space="preserve"/>
      </w:r>
    </w:p>
    <w:p>
      <w:pPr>
        <w:shd w:fill="D9D9D9" w:val="clear"/>
        <w:spacing w:after="120" w:before="240"/>
      </w:pPr>
      <w:r>
        <w:rPr>
          <w:rFonts w:ascii="Calibri" w:cs="Calibri" w:eastAsia="Calibri" w:hAnsi="Calibri"/>
          <w:b/>
          <w:bCs/>
          <w:sz w:val="20"/>
          <w:szCs w:val="20"/>
        </w:rPr>
        <w:t xml:space="preserve">PRÉVISIONS DE LA CAMPAGNE 2026/2027</w:t>
      </w:r>
    </w:p>
    <w:p>
      <w:pPr>
        <w:spacing w:after="100" w:line="260"/>
        <w:jc w:val="both"/>
      </w:pPr>
      <w:r>
        <w:rPr>
          <w:rFonts w:ascii="Calibri" w:cs="Calibri" w:eastAsia="Calibri" w:hAnsi="Calibri"/>
          <w:sz w:val="18"/>
          <w:szCs w:val="18"/>
        </w:rPr>
        <w:t xml:space="preserve">Le client projette un volume de 3 672 T sur douze mois, dont 2 819 T sur la grande campagne ouvrant le 1er septembre 2026 et 853 T sur la petite traite, sur la base d’un prix bord champ de 1 350 XOF/kg et d’un prix de vente de 1 550 XOF/kg, majoré d’une prime de cacao certifié de 70 XOF/kg. Il en découle des achats de 4 957 MXOF et un chiffre d’affaires de 5 949 MXOF, pour une marge brute de 991 MXOF, un résultat d’exploitation de 797 MXOF et un résultat net de 752 MXOF après 45 MXOF de charges financières.</w:t>
      </w:r>
    </w:p>
    <w:p>
      <w:pPr>
        <w:spacing w:after="160" w:line="260"/>
        <w:jc w:val="both"/>
      </w:pPr>
      <w:r>
        <w:rPr>
          <w:rFonts w:ascii="Calibri" w:cs="Calibri" w:eastAsia="Calibri" w:hAnsi="Calibri"/>
          <w:sz w:val="18"/>
          <w:szCs w:val="18"/>
        </w:rPr>
        <w:t xml:space="preserve">Le réalisé portant sur huit mois et le prévisionnel sur douze, la comparaison n’est probante qu’à périmètre homogène, sur la grande campagne. Sur cette base, l’activité progresse de 31 % en volume mais la marge unitaire hors prime se contracte de 33 %, de 300 à 200 XOF/kg, et la marge brute recule de 13 %. La progression du résultat affichée sur l’ensemble de la campagne provient pour l’essentiel de l’allongement de la période couverte et de l’intégration d’une prime de cacao certifié de 257 MXOF, absente du chiffre d’affaires 2025/2026.</w:t>
      </w:r>
    </w:p>
    <w:tbl>
      <w:tblPr>
        <w:tblW w:type="dxa" w:w="9638"/>
        <w:tblBorders>
          <w:top w:val="single" w:color="808080" w:sz="4"/>
          <w:left w:val="single" w:color="808080" w:sz="4"/>
          <w:bottom w:val="single" w:color="808080" w:sz="4"/>
          <w:right w:val="single" w:color="808080" w:sz="4"/>
          <w:insideH w:val="single" w:color="A6A6A6" w:sz="2"/>
          <w:insideV w:val="single" w:color="A6A6A6" w:sz="2"/>
        </w:tblBorders>
      </w:tblPr>
      <w:tblGrid>
        <w:gridCol w:w="3638"/>
        <w:gridCol w:w="2000"/>
        <w:gridCol w:w="2000"/>
        <w:gridCol w:w="2000"/>
      </w:tblGrid>
      <w:tr>
        <w:trPr>
          <w:tblHeader/>
        </w:trPr>
        <w:tc>
          <w:tcPr>
            <w:tcW w:type="dxa" w:w="3638"/>
            <w:shd w:fill="D9D9D9"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Grande campagne (6 mois vs 6 mois)</w:t>
            </w:r>
          </w:p>
        </w:tc>
        <w:tc>
          <w:tcPr>
            <w:tcW w:type="dxa" w:w="20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2025/26 réalisé</w:t>
            </w:r>
          </w:p>
        </w:tc>
        <w:tc>
          <w:tcPr>
            <w:tcW w:type="dxa" w:w="20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2026/27 prévu</w:t>
            </w:r>
          </w:p>
        </w:tc>
        <w:tc>
          <w:tcPr>
            <w:tcW w:type="dxa" w:w="20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Δ</w:t>
            </w:r>
          </w:p>
        </w:tc>
      </w:tr>
      <w:tr>
        <w:tc>
          <w:tcPr>
            <w:tcW w:type="dxa" w:w="36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Volume commercialisé (T)</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2 150</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2 819</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+31 %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Prix bord champ (XOF/kg)</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2 400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1 350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-44 %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Prix de vente (XOF/kg)</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2 700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1 550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-43 %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Achats (MXOF)</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5 160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3 806</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-26 %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Ventes (MXOF)</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5 805</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4 369</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-25 %</w:t>
            </w:r>
          </w:p>
        </w:tc>
      </w:tr>
      <w:tr>
        <w:tc>
          <w:tcPr>
            <w:tcW w:type="dxa" w:w="36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Marge brute (MXOF)</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645</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564</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-13 %</w:t>
            </w:r>
          </w:p>
        </w:tc>
      </w:tr>
      <w:tr>
        <w:tc>
          <w:tcPr>
            <w:tcW w:type="dxa" w:w="36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Marge unitaire hors prime (XOF/kg)</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300</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200</w:t>
            </w:r>
          </w:p>
        </w:tc>
        <w:tc>
          <w:tcPr>
            <w:tcW w:type="dxa" w:w="2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-33 %</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Rythme d’achat mensuel (MXOF)</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860</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634</w:t>
            </w:r>
          </w:p>
        </w:tc>
        <w:tc>
          <w:tcPr>
            <w:tcW w:type="dxa" w:w="2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-26 %</w:t>
            </w:r>
          </w:p>
        </w:tc>
      </w:tr>
    </w:tbl>
    <w:p>
      <w:pPr>
        <w:spacing w:after="100" w:line="260"/>
        <w:jc w:val="both"/>
      </w:pPr>
      <w:r>
        <w:rPr>
          <w:rFonts w:ascii="Calibri" w:cs="Calibri" w:eastAsia="Calibri" w:hAnsi="Calibri"/>
          <w:sz w:val="18"/>
          <w:szCs w:val="18"/>
        </w:rPr>
        <w:t xml:space="preserve"/>
      </w:r>
    </w:p>
    <w:tbl>
      <w:tblPr>
        <w:tblW w:type="dxa" w:w="9638"/>
        <w:tblBorders>
          <w:top w:val="single" w:color="808080" w:sz="4"/>
          <w:left w:val="single" w:color="808080" w:sz="4"/>
          <w:bottom w:val="single" w:color="808080" w:sz="4"/>
          <w:right w:val="single" w:color="808080" w:sz="4"/>
          <w:insideH w:val="single" w:color="A6A6A6" w:sz="2"/>
          <w:insideV w:val="single" w:color="A6A6A6" w:sz="2"/>
        </w:tblBorders>
      </w:tblPr>
      <w:tblGrid>
        <w:gridCol w:w="3638"/>
        <w:gridCol w:w="3000"/>
        <w:gridCol w:w="3000"/>
      </w:tblGrid>
      <w:tr>
        <w:trPr>
          <w:tblHeader/>
        </w:trPr>
        <w:tc>
          <w:tcPr>
            <w:tcW w:type="dxa" w:w="3638"/>
            <w:shd w:fill="D9D9D9"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Pour mémoire — ensemble de la campagne</w:t>
            </w:r>
          </w:p>
        </w:tc>
        <w:tc>
          <w:tcPr>
            <w:tcW w:type="dxa" w:w="30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2025/26 réalisé (8 mois)</w:t>
            </w:r>
          </w:p>
        </w:tc>
        <w:tc>
          <w:tcPr>
            <w:tcW w:type="dxa" w:w="30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2026/27 prévu (12 mois)</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Volume commercialisé (T)</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2 356</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3 672</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Achats (MXOF)</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5 407</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4 957</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Ventes (MXOF)</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6 072</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5 949 (dont prime 257)</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Marge brute (MXOF)</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666</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991 (dont prime 257)</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Résultat (MXOF)</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527 (avant frais fin.)</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797 expl. / 752 net</w:t>
            </w:r>
          </w:p>
        </w:tc>
      </w:tr>
      <w:tr>
        <w:tc>
          <w:tcPr>
            <w:tcW w:type="dxa" w:w="36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Ligne SPOT (MXOF)</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500</w:t>
            </w:r>
          </w:p>
        </w:tc>
        <w:tc>
          <w:tcPr>
            <w:tcW w:type="dxa" w:w="30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700</w:t>
            </w:r>
          </w:p>
        </w:tc>
      </w:tr>
      <w:tr>
        <w:tc>
          <w:tcPr>
            <w:tcW w:type="dxa" w:w="36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Couverture SG des achats</w:t>
            </w:r>
          </w:p>
        </w:tc>
        <w:tc>
          <w:tcPr>
            <w:tcW w:type="dxa" w:w="3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9,2 %</w:t>
            </w:r>
          </w:p>
        </w:tc>
        <w:tc>
          <w:tcPr>
            <w:tcW w:type="dxa" w:w="30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14,1 %</w:t>
            </w:r>
          </w:p>
        </w:tc>
      </w:tr>
    </w:tbl>
    <w:p>
      <w:pPr>
        <w:spacing w:after="80" w:line="260"/>
        <w:jc w:val="both"/>
      </w:pPr>
      <w:r>
        <w:rPr>
          <w:rFonts w:ascii="Calibri" w:cs="Calibri" w:eastAsia="Calibri" w:hAnsi="Calibri"/>
          <w:sz w:val="18"/>
          <w:szCs w:val="18"/>
        </w:rPr>
        <w:t xml:space="preserve"/>
      </w:r>
    </w:p>
    <w:p>
      <w:pPr>
        <w:shd w:fill="D9D9D9" w:val="clear"/>
        <w:spacing w:after="120" w:before="240"/>
      </w:pPr>
      <w:r>
        <w:rPr>
          <w:rFonts w:ascii="Calibri" w:cs="Calibri" w:eastAsia="Calibri" w:hAnsi="Calibri"/>
          <w:b/>
          <w:bCs/>
          <w:sz w:val="20"/>
          <w:szCs w:val="20"/>
        </w:rPr>
        <w:t xml:space="preserve">ANALYSE DU CALIBRAGE DES LIGNES</w:t>
      </w:r>
    </w:p>
    <w:p>
      <w:pPr>
        <w:pBdr>
          <w:bottom w:val="single" w:color="C00000" w:sz="6"/>
        </w:pBdr>
        <w:spacing w:after="100" w:before="200"/>
      </w:pPr>
      <w:r>
        <w:rPr>
          <w:rFonts w:ascii="Calibri" w:cs="Calibri" w:eastAsia="Calibri" w:hAnsi="Calibri"/>
          <w:b/>
          <w:bCs/>
          <w:sz w:val="19"/>
          <w:szCs w:val="19"/>
        </w:rPr>
        <w:t xml:space="preserve">Ligne de spot — 700 MXOF sollicités, maturité 3 mois</w:t>
      </w:r>
    </w:p>
    <w:p>
      <w:pPr>
        <w:spacing w:after="100" w:line="260"/>
        <w:jc w:val="both"/>
      </w:pPr>
      <w:r>
        <w:rPr>
          <w:rFonts w:ascii="Calibri" w:cs="Calibri" w:eastAsia="Calibri" w:hAnsi="Calibri"/>
          <w:sz w:val="18"/>
          <w:szCs w:val="18"/>
        </w:rPr>
        <w:t xml:space="preserve">Le calibrage présenté dans la CREDAPP s’appuie sur un besoin trimestriel moyen de 1 239 MXOF (4 957 / 4). Ce raisonnement lisse la saisonnalité : sur la base du plan mensuel transmis, le trimestre de pointe (septembre à novembre 2026) concentre 2 342 MXOF d’achats, soit 47 % du besoin annuel et 62 % des achats de la grande campagne. La ligne sollicitée n’en couvre que 30 %.</w:t>
      </w:r>
    </w:p>
    <w:p>
      <w:pPr>
        <w:spacing w:after="100" w:line="260"/>
        <w:jc w:val="both"/>
      </w:pPr>
      <w:r>
        <w:rPr>
          <w:rFonts w:ascii="Calibri" w:cs="Calibri" w:eastAsia="Calibri" w:hAnsi="Calibri"/>
          <w:sz w:val="18"/>
          <w:szCs w:val="18"/>
        </w:rPr>
        <w:t xml:space="preserve">Rapportée au rythme d’achat de la grande campagne (634 MXOF par mois), la ligne représente 1,1 mois d’approvisionnement et 0,85 mois au pic de septembre 2026 (823 MXOF). Elle couvre 18,4 % des achats de la grande campagne et 14,1 % des achats de l’ensemble de la campagne, contre 9,2 % sur l’exercice écoulé.</w:t>
      </w:r>
    </w:p>
    <w:p>
      <w:pPr>
        <w:spacing w:after="100" w:line="260"/>
        <w:jc w:val="both"/>
      </w:pPr>
      <w:r>
        <w:rPr>
          <w:rFonts w:ascii="Calibri" w:cs="Calibri" w:eastAsia="Calibri" w:hAnsi="Calibri"/>
          <w:sz w:val="18"/>
          <w:szCs w:val="18"/>
        </w:rPr>
        <w:t xml:space="preserve">La ligne n’apparaît donc pas sur-calibrée au regard du volume d’activité attendu ; elle est en revanche calibrée sur une hypothèse de prix basse. Le prix bord champ 2026/2027 n’étant pas encore arrêté par le CCC, une fixation à 1 800 XOF/kg porterait le besoin d’achat à 6 610 MXOF (+33 %) et ramènerait notre couverture à 10,6 %. Le risque à surveiller est celui d’un recours à d’autres sources de financement ou d’un détournement d’objet, non celui d’un sur-financement.</w:t>
      </w:r>
    </w:p>
    <w:p>
      <w:pPr>
        <w:spacing w:after="60" w:line="260"/>
        <w:jc w:val="both"/>
      </w:pPr>
      <w:r>
        <w:rPr>
          <w:rFonts w:ascii="Calibri" w:cs="Calibri" w:eastAsia="Calibri" w:hAnsi="Calibri"/>
          <w:sz w:val="18"/>
          <w:szCs w:val="18"/>
        </w:rPr>
        <w:t xml:space="preserve">Nous proposons de calibrer la ligne sur la seule grande campagne (3 806 MXOF d’achats), la petite traite 2027 devant faire l’objet d’un réexamen distinct au vu du prix qui sera arrêté par le CCC. Trois réserves pèsent par ailleurs sur la structure proposée :</w:t>
      </w:r>
    </w:p>
    <w:p>
      <w:pPr>
        <w:pStyle w:val="ListParagraph"/>
        <w:numPr>
          <w:ilvl w:val="0"/>
          <w:numId w:val="2"/>
        </w:numPr>
        <w:spacing w:after="60" w:line="260"/>
        <w:jc w:val="both"/>
      </w:pPr>
      <w:r>
        <w:rPr>
          <w:rFonts w:ascii="Calibri" w:cs="Calibri" w:eastAsia="Calibri" w:hAnsi="Calibri"/>
          <w:b/>
          <w:bCs/>
          <w:sz w:val="18"/>
          <w:szCs w:val="18"/>
        </w:rPr>
        <w:t xml:space="preserve">L’adossement de la maturité est nul. </w:t>
      </w:r>
      <w:r>
        <w:rPr>
          <w:rFonts w:ascii="Calibri" w:cs="Calibri" w:eastAsia="Calibri" w:hAnsi="Calibri"/>
          <w:sz w:val="18"/>
          <w:szCs w:val="18"/>
        </w:rPr>
        <w:t xml:space="preserve">Une maturité de 3 mois face à un règlement CARGILL à 90 jours par chèque ne laisse aucune marge de traitement. Le plan de trésorerie du client le confirme : il prévoit quatre tirages de 700 MXOF pour trois remboursements seulement, sur des durées effectives de 2, 3 puis 5 mois, avec un encours résiduel de 700 MXOF à la clôture de la campagne. Une maturité de 4 mois est plus cohérente avec le cycle réel ;</w:t>
      </w:r>
    </w:p>
    <w:p>
      <w:pPr>
        <w:pStyle w:val="ListParagraph"/>
        <w:numPr>
          <w:ilvl w:val="0"/>
          <w:numId w:val="2"/>
        </w:numPr>
        <w:spacing w:after="60" w:line="260"/>
        <w:jc w:val="both"/>
      </w:pPr>
      <w:r>
        <w:rPr>
          <w:rFonts w:ascii="Calibri" w:cs="Calibri" w:eastAsia="Calibri" w:hAnsi="Calibri"/>
          <w:b/>
          <w:bCs/>
          <w:sz w:val="18"/>
          <w:szCs w:val="18"/>
        </w:rPr>
        <w:t xml:space="preserve">Le plan de trésorerie ne matérialise pas le besoin. </w:t>
      </w:r>
      <w:r>
        <w:rPr>
          <w:rFonts w:ascii="Calibri" w:cs="Calibri" w:eastAsia="Calibri" w:hAnsi="Calibri"/>
          <w:sz w:val="18"/>
          <w:szCs w:val="18"/>
        </w:rPr>
        <w:t xml:space="preserve">Les ventes y sont encaissées le mois même des achats, sans décalage, ce qui fait ressortir un solde structurellement excédentaire, jusqu’à 2 157 MXOF en juillet 2027. Le BFR qui justifie le concours n’est pas modélisé ;</w:t>
      </w:r>
    </w:p>
    <w:p>
      <w:pPr>
        <w:pStyle w:val="ListParagraph"/>
        <w:numPr>
          <w:ilvl w:val="0"/>
          <w:numId w:val="2"/>
        </w:numPr>
        <w:spacing w:after="60" w:line="260"/>
        <w:jc w:val="both"/>
      </w:pPr>
      <w:r>
        <w:rPr>
          <w:rFonts w:ascii="Calibri" w:cs="Calibri" w:eastAsia="Calibri" w:hAnsi="Calibri"/>
          <w:b/>
          <w:bCs/>
          <w:sz w:val="18"/>
          <w:szCs w:val="18"/>
        </w:rPr>
        <w:t xml:space="preserve">La couverture s’est dégradée. </w:t>
      </w:r>
      <w:r>
        <w:rPr>
          <w:rFonts w:ascii="Calibri" w:cs="Calibri" w:eastAsia="Calibri" w:hAnsi="Calibri"/>
          <w:sz w:val="18"/>
          <w:szCs w:val="18"/>
        </w:rPr>
        <w:t xml:space="preserve">Sur une exposition portée à 700 MXOF, le risque résiduel après garanties cash ressort à 450 MXOF (64 %) en cas de retrait de la garantie IFC, contre 100 MXOF (14 %) si celle-ci est maintenue. Ce calcul suppose le déposit reconstitué à 200 MXOF — il est à 3 MXOF à date — et le PEI ramené à sa cible de 50 MXOF ; il retient la garantie IFC à 50 % du montant du spot, exclut le crédit-bail de l’assiette et ne valorise ni le cautionnement du PCA ni l’assurance sur stock.</w:t>
      </w:r>
    </w:p>
    <w:p>
      <w:pPr>
        <w:pBdr>
          <w:bottom w:val="single" w:color="C00000" w:sz="6"/>
        </w:pBdr>
        <w:spacing w:after="100" w:before="200"/>
      </w:pPr>
      <w:r>
        <w:rPr>
          <w:rFonts w:ascii="Calibri" w:cs="Calibri" w:eastAsia="Calibri" w:hAnsi="Calibri"/>
          <w:b/>
          <w:bCs/>
          <w:sz w:val="19"/>
          <w:szCs w:val="19"/>
        </w:rPr>
        <w:t xml:space="preserve">Crédit-bail — 100 MXOF sur 48 mois</w:t>
      </w:r>
    </w:p>
    <w:p>
      <w:pPr>
        <w:spacing w:after="100" w:line="260"/>
        <w:jc w:val="both"/>
      </w:pPr>
      <w:r>
        <w:rPr>
          <w:rFonts w:ascii="Calibri" w:cs="Calibri" w:eastAsia="Calibri" w:hAnsi="Calibri"/>
          <w:sz w:val="18"/>
          <w:szCs w:val="18"/>
        </w:rPr>
        <w:t xml:space="preserve">Le concours est cohérent avec l’objet : le parc de matériels de transport, d’une valeur brute de 218 MXOF, présente une VNC de 1,5 MXOF et un taux de vétusté supérieur à 99 %, la demande portant sur un renouvellement partiel (46 % de la valeur brute). L’annuité ressort à 30,1 MXOF (loyer mensuel de 2,5 MXOF au taux de 9,5 %), couverte 10,6 fois par la MBA moyenne des trois derniers exercices audités (320 MXOF). Le calibrage n’appelle pas de réserve.</w:t>
      </w:r>
    </w:p>
    <w:p>
      <w:pPr>
        <w:spacing w:after="100" w:line="260"/>
        <w:jc w:val="both"/>
      </w:pPr>
      <w:r>
        <w:rPr>
          <w:rFonts w:ascii="Calibri" w:cs="Calibri" w:eastAsia="Calibri" w:hAnsi="Calibri"/>
          <w:sz w:val="18"/>
          <w:szCs w:val="18"/>
        </w:rPr>
        <w:t xml:space="preserve">Nous relevons toutefois que la coopérative n’étant pas assujettie à l’impôt sur le BIC, le crédit-bail ne procure aucun avantage fiscal par rapport à un crédit d’équipement classique ; le choix de la formule mérite d’être justifié par le métier.</w:t>
      </w:r>
    </w:p>
    <w:p>
      <w:pPr>
        <w:spacing w:after="100" w:line="260"/>
        <w:jc w:val="both"/>
      </w:pPr>
      <w:r>
        <w:rPr>
          <w:rFonts w:ascii="Calibri" w:cs="Calibri" w:eastAsia="Calibri" w:hAnsi="Calibri"/>
          <w:sz w:val="18"/>
          <w:szCs w:val="18"/>
        </w:rPr>
        <w:t xml:space="preserve">L’exposition globale post-demande de 800 MXOF représente 65 % des ressources propres et 12 % du chiffre d’affaires 2025, niveaux acceptables.</w:t>
      </w:r>
    </w:p>
    <w:p>
      <w:pPr>
        <w:shd w:fill="D9D9D9" w:val="clear"/>
        <w:spacing w:after="120" w:before="240"/>
      </w:pPr>
      <w:r>
        <w:rPr>
          <w:rFonts w:ascii="Calibri" w:cs="Calibri" w:eastAsia="Calibri" w:hAnsi="Calibri"/>
          <w:b/>
          <w:bCs/>
          <w:sz w:val="20"/>
          <w:szCs w:val="20"/>
        </w:rPr>
        <w:t xml:space="preserve">POINTS D’ATTENTION SUR LES DONNÉES TRANSMISES</w:t>
      </w:r>
    </w:p>
    <w:p>
      <w:pPr>
        <w:pStyle w:val="ListParagraph"/>
        <w:numPr>
          <w:ilvl w:val="0"/>
          <w:numId w:val="2"/>
        </w:numPr>
        <w:spacing w:after="60" w:line="260"/>
        <w:jc w:val="both"/>
      </w:pPr>
      <w:r>
        <w:rPr>
          <w:rFonts w:ascii="Calibri" w:cs="Calibri" w:eastAsia="Calibri" w:hAnsi="Calibri"/>
          <w:b/>
          <w:bCs/>
          <w:sz w:val="18"/>
          <w:szCs w:val="18"/>
        </w:rPr>
        <w:t xml:space="preserve">Deux comptes d’exploitation de campagne coexistent, pour un écart de 215 MXOF. </w:t>
      </w:r>
      <w:r>
        <w:rPr>
          <w:rFonts w:ascii="Calibri" w:cs="Calibri" w:eastAsia="Calibri" w:hAnsi="Calibri"/>
          <w:sz w:val="18"/>
          <w:szCs w:val="18"/>
        </w:rPr>
        <w:t xml:space="preserve">L’onglet « CE REALISE » retient un prix de vente de 2 700 XOF/kg en grande campagne (CA 6 072 MXOF, solde 527 MXOF) ; l’onglet « CE 2526 » retient 2 600 XOF/kg (CA 5 857 MXOF, résultat net 312 MXOF). C’est la version haute qui a été reprise dans la CREDAPP ;</w:t>
      </w:r>
    </w:p>
    <w:p>
      <w:pPr>
        <w:pStyle w:val="ListParagraph"/>
        <w:numPr>
          <w:ilvl w:val="0"/>
          <w:numId w:val="2"/>
        </w:numPr>
        <w:spacing w:after="60" w:line="260"/>
        <w:jc w:val="both"/>
      </w:pPr>
      <w:r>
        <w:rPr>
          <w:rFonts w:ascii="Calibri" w:cs="Calibri" w:eastAsia="Calibri" w:hAnsi="Calibri"/>
          <w:b/>
          <w:bCs/>
          <w:sz w:val="18"/>
          <w:szCs w:val="18"/>
        </w:rPr>
        <w:t xml:space="preserve">Le résultat de la version basse (312 038 520 XOF) est quasi identique au RN 2025 audité (312 457 KXOF) </w:t>
      </w:r>
      <w:r>
        <w:rPr>
          <w:rFonts w:ascii="Calibri" w:cs="Calibri" w:eastAsia="Calibri" w:hAnsi="Calibri"/>
          <w:sz w:val="18"/>
          <w:szCs w:val="18"/>
        </w:rPr>
        <w:t xml:space="preserve">alors que les deux périodes ne se recoupent que sur trois mois ;</w:t>
      </w:r>
    </w:p>
    <w:p>
      <w:pPr>
        <w:pStyle w:val="ListParagraph"/>
        <w:numPr>
          <w:ilvl w:val="0"/>
          <w:numId w:val="2"/>
        </w:numPr>
        <w:spacing w:after="60" w:line="260"/>
        <w:jc w:val="both"/>
      </w:pPr>
      <w:r>
        <w:rPr>
          <w:rFonts w:ascii="Calibri" w:cs="Calibri" w:eastAsia="Calibri" w:hAnsi="Calibri"/>
          <w:b/>
          <w:bCs/>
          <w:sz w:val="18"/>
          <w:szCs w:val="18"/>
        </w:rPr>
        <w:t xml:space="preserve">Le prix d’achat bord champ retenu est de 2 400 XOF/kg en grande campagne, contre un prix officiel CCC de 2 800 XOF/kg. </w:t>
      </w:r>
      <w:r>
        <w:rPr>
          <w:rFonts w:ascii="Calibri" w:cs="Calibri" w:eastAsia="Calibri" w:hAnsi="Calibri"/>
          <w:sz w:val="18"/>
          <w:szCs w:val="18"/>
        </w:rPr>
        <w:t xml:space="preserve">L’écart de 400 XOF/kg sur 2 150 T représente 860 MXOF et appelle une clarification à dimension de conformité filière ;</w:t>
      </w:r>
    </w:p>
    <w:p>
      <w:pPr>
        <w:pStyle w:val="ListParagraph"/>
        <w:numPr>
          <w:ilvl w:val="0"/>
          <w:numId w:val="2"/>
        </w:numPr>
        <w:spacing w:after="60" w:line="260"/>
        <w:jc w:val="both"/>
      </w:pPr>
      <w:r>
        <w:rPr>
          <w:rFonts w:ascii="Calibri" w:cs="Calibri" w:eastAsia="Calibri" w:hAnsi="Calibri"/>
          <w:b/>
          <w:bCs/>
          <w:sz w:val="18"/>
          <w:szCs w:val="18"/>
        </w:rPr>
        <w:t xml:space="preserve">Le prévisionnel applique un prix bord champ unique de 1 350 XOF/kg sur les douze mois, </w:t>
      </w:r>
      <w:r>
        <w:rPr>
          <w:rFonts w:ascii="Calibri" w:cs="Calibri" w:eastAsia="Calibri" w:hAnsi="Calibri"/>
          <w:sz w:val="18"/>
          <w:szCs w:val="18"/>
        </w:rPr>
        <w:t xml:space="preserve">alors que le CCC arrête deux prix distincts pour la grande campagne et la petite traite. Le besoin de financement de la petite traite 2027 en est mécaniquement faussé ;</w:t>
      </w:r>
    </w:p>
    <w:p>
      <w:pPr>
        <w:pStyle w:val="ListParagraph"/>
        <w:numPr>
          <w:ilvl w:val="0"/>
          <w:numId w:val="2"/>
        </w:numPr>
        <w:spacing w:after="60" w:line="260"/>
        <w:jc w:val="both"/>
      </w:pPr>
      <w:r>
        <w:rPr>
          <w:rFonts w:ascii="Calibri" w:cs="Calibri" w:eastAsia="Calibri" w:hAnsi="Calibri"/>
          <w:b/>
          <w:bCs/>
          <w:sz w:val="18"/>
          <w:szCs w:val="18"/>
        </w:rPr>
        <w:t xml:space="preserve">Les charges financières prévisionnelles (45 MXOF) sont calibrées sur 500 MXOF et non sur 700. </w:t>
      </w:r>
      <w:r>
        <w:rPr>
          <w:rFonts w:ascii="Calibri" w:cs="Calibri" w:eastAsia="Calibri" w:hAnsi="Calibri"/>
          <w:sz w:val="18"/>
          <w:szCs w:val="18"/>
        </w:rPr>
        <w:t xml:space="preserve">Le calcul retenu est de 11,25 MXOF par trimestre, soit 500 × 9 % × 3/12. Sur 700 MXOF le coût ressort à 63 MXOF, hors CB à 9,5 %. Le plan de trésorerie affiche par ailleurs un troisième montant (87,8 MXOF) ;</w:t>
      </w:r>
    </w:p>
    <w:p>
      <w:pPr>
        <w:pStyle w:val="ListParagraph"/>
        <w:numPr>
          <w:ilvl w:val="0"/>
          <w:numId w:val="2"/>
        </w:numPr>
        <w:spacing w:after="60" w:line="260"/>
        <w:jc w:val="both"/>
      </w:pPr>
      <w:r>
        <w:rPr>
          <w:rFonts w:ascii="Calibri" w:cs="Calibri" w:eastAsia="Calibri" w:hAnsi="Calibri"/>
          <w:b/>
          <w:bCs/>
          <w:sz w:val="18"/>
          <w:szCs w:val="18"/>
        </w:rPr>
        <w:t xml:space="preserve">La prime de cacao certifié (257 MXOF, soit 70 XOF/kg) apparaît au prévisionnel 2026/2027 mais est absente du chiffre d’affaires réalisé 2025/2026. </w:t>
      </w:r>
      <w:r>
        <w:rPr>
          <w:rFonts w:ascii="Calibri" w:cs="Calibri" w:eastAsia="Calibri" w:hAnsi="Calibri"/>
          <w:sz w:val="18"/>
          <w:szCs w:val="18"/>
        </w:rPr>
        <w:t xml:space="preserve">À faire confirmer : primes FT et RA effectivement perçues sur la campagne écoulée et leur traitement comptable ;</w:t>
      </w:r>
    </w:p>
    <w:p>
      <w:pPr>
        <w:pStyle w:val="ListParagraph"/>
        <w:numPr>
          <w:ilvl w:val="0"/>
          <w:numId w:val="2"/>
        </w:numPr>
        <w:spacing w:after="60" w:line="260"/>
        <w:jc w:val="both"/>
      </w:pPr>
      <w:r>
        <w:rPr>
          <w:rFonts w:ascii="Calibri" w:cs="Calibri" w:eastAsia="Calibri" w:hAnsi="Calibri"/>
          <w:b/>
          <w:bCs/>
          <w:sz w:val="18"/>
          <w:szCs w:val="18"/>
        </w:rPr>
        <w:t xml:space="preserve">Le code de l’indicateur SFT diffère selon les documents </w:t>
      </w:r>
      <w:r>
        <w:rPr>
          <w:rFonts w:ascii="Calibri" w:cs="Calibri" w:eastAsia="Calibri" w:hAnsi="Calibri"/>
          <w:sz w:val="18"/>
          <w:szCs w:val="18"/>
        </w:rPr>
        <w:t xml:space="preserve">(S-09 « agriculture et industrie alimentaire en pays émergents » dans notre projet de reco, SPIF-S06 « financement des PME » dans la CREDAPP) ;</w:t>
      </w:r>
    </w:p>
    <w:p>
      <w:pPr>
        <w:pStyle w:val="ListParagraph"/>
        <w:numPr>
          <w:ilvl w:val="0"/>
          <w:numId w:val="2"/>
        </w:numPr>
        <w:spacing w:after="60" w:line="260"/>
        <w:jc w:val="both"/>
      </w:pPr>
      <w:r>
        <w:rPr>
          <w:rFonts w:ascii="Calibri" w:cs="Calibri" w:eastAsia="Calibri" w:hAnsi="Calibri"/>
          <w:b/>
          <w:bCs/>
          <w:sz w:val="18"/>
          <w:szCs w:val="18"/>
        </w:rPr>
        <w:t xml:space="preserve">La mention d’un CIP en risque très faible est à confirmer, </w:t>
      </w:r>
      <w:r>
        <w:rPr>
          <w:rFonts w:ascii="Calibri" w:cs="Calibri" w:eastAsia="Calibri" w:hAnsi="Calibri"/>
          <w:sz w:val="18"/>
          <w:szCs w:val="18"/>
        </w:rPr>
        <w:t xml:space="preserve">la CREDAPP indiquant que la relation est absente de la plateforme BIC faute d’engagements sur le pool bancaire ;</w:t>
      </w:r>
    </w:p>
    <w:p>
      <w:pPr>
        <w:pStyle w:val="ListParagraph"/>
        <w:numPr>
          <w:ilvl w:val="0"/>
          <w:numId w:val="2"/>
        </w:numPr>
        <w:spacing w:after="60" w:line="260"/>
        <w:jc w:val="both"/>
      </w:pPr>
      <w:r>
        <w:rPr>
          <w:rFonts w:ascii="Calibri" w:cs="Calibri" w:eastAsia="Calibri" w:hAnsi="Calibri"/>
          <w:b/>
          <w:bCs/>
          <w:sz w:val="18"/>
          <w:szCs w:val="18"/>
        </w:rPr>
        <w:t xml:space="preserve">Le plan de trésorerie ne matérialise pas le besoin qu’il est censé justifier </w:t>
      </w:r>
      <w:r>
        <w:rPr>
          <w:rFonts w:ascii="Calibri" w:cs="Calibri" w:eastAsia="Calibri" w:hAnsi="Calibri"/>
          <w:sz w:val="18"/>
          <w:szCs w:val="18"/>
        </w:rPr>
        <w:t xml:space="preserve">(cf. supra) et confirme l’usage revolving de la ligne.</w:t>
      </w:r>
    </w:p>
    <w:p>
      <w:pPr>
        <w:shd w:fill="D9D9D9" w:val="clear"/>
        <w:spacing w:after="120" w:before="240"/>
      </w:pPr>
      <w:r>
        <w:rPr>
          <w:rFonts w:ascii="Calibri" w:cs="Calibri" w:eastAsia="Calibri" w:hAnsi="Calibri"/>
          <w:b/>
          <w:bCs/>
          <w:sz w:val="20"/>
          <w:szCs w:val="20"/>
        </w:rPr>
        <w:t xml:space="preserve">ANALYSE SWOT</w:t>
      </w:r>
    </w:p>
    <w:tbl>
      <w:tblPr>
        <w:tblW w:type="dxa" w:w="9638"/>
        <w:tblBorders>
          <w:top w:val="single" w:color="808080" w:sz="4"/>
          <w:left w:val="single" w:color="808080" w:sz="4"/>
          <w:bottom w:val="single" w:color="808080" w:sz="4"/>
          <w:right w:val="single" w:color="808080" w:sz="4"/>
          <w:insideH w:val="single" w:color="A6A6A6" w:sz="2"/>
          <w:insideV w:val="single" w:color="A6A6A6" w:sz="2"/>
        </w:tblBorders>
      </w:tblPr>
      <w:tblGrid>
        <w:gridCol w:w="4819"/>
        <w:gridCol w:w="4819"/>
      </w:tblGrid>
      <w:tr>
        <w:trPr>
          <w:tblHeader/>
        </w:trPr>
        <w:tc>
          <w:tcPr>
            <w:tcW w:type="dxa" w:w="4819"/>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Forces / Opportunités</w:t>
            </w:r>
          </w:p>
        </w:tc>
        <w:tc>
          <w:tcPr>
            <w:tcW w:type="dxa" w:w="4819"/>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Faiblesses / Menaces</w:t>
            </w:r>
          </w:p>
        </w:tc>
      </w:tr>
      <w:tr>
        <w:tc>
          <w:tcPr>
            <w:tcW w:type="dxa" w:w="4819"/>
            <w:tcMar>
              <w:top w:type="dxa" w:w="60"/>
              <w:left w:type="dxa" w:w="100"/>
              <w:bottom w:type="dxa" w:w="60"/>
              <w:right w:type="dxa" w:w="100"/>
            </w:tcMar>
          </w:tcPr>
          <w:p>
            <w:pPr>
              <w:spacing w:after="60" w:line="240"/>
              <w:jc w:val="both"/>
            </w:pPr>
            <w:r>
              <w:rPr>
                <w:rFonts w:ascii="Calibri" w:cs="Calibri" w:eastAsia="Calibri" w:hAnsi="Calibri"/>
                <w:sz w:val="17"/>
                <w:szCs w:val="17"/>
              </w:rPr>
              <w:t xml:space="preserve">1. Opération éligible au cadre SFT de SG au titre du financement des PME et du maintien de l’emploi sur un territoire (code de l’indicateur à confirmer) ;</w:t>
            </w:r>
          </w:p>
          <w:p>
            <w:pPr>
              <w:spacing w:after="60" w:line="240"/>
              <w:jc w:val="both"/>
            </w:pPr>
            <w:r>
              <w:rPr>
                <w:rFonts w:ascii="Calibri" w:cs="Calibri" w:eastAsia="Calibri" w:hAnsi="Calibri"/>
                <w:sz w:val="17"/>
                <w:szCs w:val="17"/>
              </w:rPr>
              <w:t xml:space="preserve">2. Demande adossée à un contrat porté par CARGILL, groupe noté 3 dans NOVA et disposant de lignes supérieures à 50 GXOF dans nos livres ;</w:t>
            </w:r>
          </w:p>
          <w:p>
            <w:pPr>
              <w:spacing w:after="60" w:line="240"/>
              <w:jc w:val="both"/>
            </w:pPr>
            <w:r>
              <w:rPr>
                <w:rFonts w:ascii="Calibri" w:cs="Calibri" w:eastAsia="Calibri" w:hAnsi="Calibri"/>
                <w:sz w:val="17"/>
                <w:szCs w:val="17"/>
              </w:rPr>
              <w:t xml:space="preserve">3. Structure financière solide : solvabilité de 98 %, gearing et leverage nuls, trésorerie nette excédentaire de 226 MXOF ;</w:t>
            </w:r>
          </w:p>
          <w:p>
            <w:pPr>
              <w:spacing w:after="60" w:line="240"/>
              <w:jc w:val="both"/>
            </w:pPr>
            <w:r>
              <w:rPr>
                <w:rFonts w:ascii="Calibri" w:cs="Calibri" w:eastAsia="Calibri" w:hAnsi="Calibri"/>
                <w:sz w:val="17"/>
                <w:szCs w:val="17"/>
              </w:rPr>
              <w:t xml:space="preserve">4. Bon dénouement de la précédente ligne malgré la crise de la filière ;</w:t>
            </w:r>
          </w:p>
          <w:p>
            <w:pPr>
              <w:spacing w:after="60" w:line="240"/>
              <w:jc w:val="both"/>
            </w:pPr>
            <w:r>
              <w:rPr>
                <w:rFonts w:ascii="Calibri" w:cs="Calibri" w:eastAsia="Calibri" w:hAnsi="Calibri"/>
                <w:sz w:val="17"/>
                <w:szCs w:val="17"/>
              </w:rPr>
              <w:t xml:space="preserve">5. Coopérative référencée TOP 20 des fournisseurs CARGILL, certifiée Fairtrade depuis 2019 et engagée en Rainforest Alliance depuis 2017 ;</w:t>
            </w:r>
          </w:p>
          <w:p>
            <w:pPr>
              <w:spacing w:after="60" w:line="240"/>
              <w:jc w:val="both"/>
            </w:pPr>
            <w:r>
              <w:rPr>
                <w:rFonts w:ascii="Calibri" w:cs="Calibri" w:eastAsia="Calibri" w:hAnsi="Calibri"/>
                <w:sz w:val="17"/>
                <w:szCs w:val="17"/>
              </w:rPr>
              <w:t xml:space="preserve">6. Évaluation E&amp;S de l’expert positive, risque « moyen-faible » ;</w:t>
            </w:r>
          </w:p>
          <w:p>
            <w:pPr>
              <w:spacing w:after="60" w:line="240"/>
              <w:jc w:val="both"/>
            </w:pPr>
            <w:r>
              <w:rPr>
                <w:rFonts w:ascii="Calibri" w:cs="Calibri" w:eastAsia="Calibri" w:hAnsi="Calibri"/>
                <w:sz w:val="17"/>
                <w:szCs w:val="17"/>
              </w:rPr>
              <w:t xml:space="preserve">7. Absence d’engagements auprès du pool bancaire.</w:t>
            </w:r>
          </w:p>
        </w:tc>
        <w:tc>
          <w:tcPr>
            <w:tcW w:type="dxa" w:w="4819"/>
            <w:tcMar>
              <w:top w:type="dxa" w:w="60"/>
              <w:left w:type="dxa" w:w="100"/>
              <w:bottom w:type="dxa" w:w="60"/>
              <w:right w:type="dxa" w:w="100"/>
            </w:tcMar>
          </w:tcPr>
          <w:p>
            <w:pPr>
              <w:spacing w:after="60" w:line="240"/>
              <w:jc w:val="both"/>
            </w:pPr>
            <w:r>
              <w:rPr>
                <w:rFonts w:ascii="Calibri" w:cs="Calibri" w:eastAsia="Calibri" w:hAnsi="Calibri"/>
                <w:sz w:val="17"/>
                <w:szCs w:val="17"/>
              </w:rPr>
              <w:t xml:space="preserve">1. Fiabilité des états financiers : absence de dettes et de frais financiers alors qu’un encours spot de 250 MXOF courait au 31/12/2025 ;</w:t>
            </w:r>
          </w:p>
          <w:p>
            <w:pPr>
              <w:spacing w:after="60" w:line="240"/>
              <w:jc w:val="both"/>
            </w:pPr>
            <w:r>
              <w:rPr>
                <w:rFonts w:ascii="Calibri" w:cs="Calibri" w:eastAsia="Calibri" w:hAnsi="Calibri"/>
                <w:sz w:val="17"/>
                <w:szCs w:val="17"/>
              </w:rPr>
              <w:t xml:space="preserve">2. Utilisation revolving de la ligne de spot, point de suivi non respecté sur la précédente autorisation ;</w:t>
            </w:r>
          </w:p>
          <w:p>
            <w:pPr>
              <w:spacing w:after="60" w:line="240"/>
              <w:jc w:val="both"/>
            </w:pPr>
            <w:r>
              <w:rPr>
                <w:rFonts w:ascii="Calibri" w:cs="Calibri" w:eastAsia="Calibri" w:hAnsi="Calibri"/>
                <w:sz w:val="17"/>
                <w:szCs w:val="17"/>
              </w:rPr>
              <w:t xml:space="preserve">3. Dégradation des garanties : déposit ramené de 213 à 3 MXOF après retrait du 21/07/2026, VM du PEI non honorés depuis mars 2026 ;</w:t>
            </w:r>
          </w:p>
          <w:p>
            <w:pPr>
              <w:spacing w:after="60" w:line="240"/>
              <w:jc w:val="both"/>
            </w:pPr>
            <w:r>
              <w:rPr>
                <w:rFonts w:ascii="Calibri" w:cs="Calibri" w:eastAsia="Calibri" w:hAnsi="Calibri"/>
                <w:sz w:val="17"/>
                <w:szCs w:val="17"/>
              </w:rPr>
              <w:t xml:space="preserve">4. Covenant de domiciliation de 80 % du CA non respecté ;</w:t>
            </w:r>
          </w:p>
          <w:p>
            <w:pPr>
              <w:spacing w:after="60" w:line="240"/>
              <w:jc w:val="both"/>
            </w:pPr>
            <w:r>
              <w:rPr>
                <w:rFonts w:ascii="Calibri" w:cs="Calibri" w:eastAsia="Calibri" w:hAnsi="Calibri"/>
                <w:sz w:val="17"/>
                <w:szCs w:val="17"/>
              </w:rPr>
              <w:t xml:space="preserve">5. Prix bord champ 2026/2027 non arrêté par le CCC : prévisions établies sur une hypothèse non validée ;</w:t>
            </w:r>
          </w:p>
          <w:p>
            <w:pPr>
              <w:spacing w:after="60" w:line="240"/>
              <w:jc w:val="both"/>
            </w:pPr>
            <w:r>
              <w:rPr>
                <w:rFonts w:ascii="Calibri" w:cs="Calibri" w:eastAsia="Calibri" w:hAnsi="Calibri"/>
                <w:sz w:val="17"/>
                <w:szCs w:val="17"/>
              </w:rPr>
              <w:t xml:space="preserve">6. Contraction de la marge unitaire hors prime de 300 à 200 XOF/kg (-33 %) ;</w:t>
            </w:r>
          </w:p>
          <w:p>
            <w:pPr>
              <w:spacing w:after="60" w:line="240"/>
              <w:jc w:val="both"/>
            </w:pPr>
            <w:r>
              <w:rPr>
                <w:rFonts w:ascii="Calibri" w:cs="Calibri" w:eastAsia="Calibri" w:hAnsi="Calibri"/>
                <w:sz w:val="17"/>
                <w:szCs w:val="17"/>
              </w:rPr>
              <w:t xml:space="preserve">7. Concentration : 81 % des livraisons sur un acheteur unique ;</w:t>
            </w:r>
          </w:p>
          <w:p>
            <w:pPr>
              <w:spacing w:after="60" w:line="240"/>
              <w:jc w:val="both"/>
            </w:pPr>
            <w:r>
              <w:rPr>
                <w:rFonts w:ascii="Calibri" w:cs="Calibri" w:eastAsia="Calibri" w:hAnsi="Calibri"/>
                <w:sz w:val="17"/>
                <w:szCs w:val="17"/>
              </w:rPr>
              <w:t xml:space="preserve">8. Entrée en vigueur de l’EUDR et de la carte du producteur : risque de non-conformité de la traçabilité (795 producteurs RA sur 1 586).</w:t>
            </w:r>
          </w:p>
        </w:tc>
      </w:tr>
    </w:tbl>
    <w:p>
      <w:pPr>
        <w:spacing w:after="80" w:line="260"/>
        <w:jc w:val="both"/>
      </w:pPr>
      <w:r>
        <w:rPr>
          <w:rFonts w:ascii="Calibri" w:cs="Calibri" w:eastAsia="Calibri" w:hAnsi="Calibri"/>
          <w:sz w:val="18"/>
          <w:szCs w:val="18"/>
        </w:rPr>
        <w:t xml:space="preserve"/>
      </w:r>
    </w:p>
    <w:p>
      <w:pPr>
        <w:shd w:fill="D9D9D9" w:val="clear"/>
        <w:spacing w:after="120" w:before="240"/>
      </w:pPr>
      <w:r>
        <w:rPr>
          <w:rFonts w:ascii="Calibri" w:cs="Calibri" w:eastAsia="Calibri" w:hAnsi="Calibri"/>
          <w:b/>
          <w:bCs/>
          <w:sz w:val="20"/>
          <w:szCs w:val="20"/>
        </w:rPr>
        <w:t xml:space="preserve">AVIS RISQ</w:t>
      </w:r>
    </w:p>
    <w:p>
      <w:pPr>
        <w:spacing w:after="100" w:line="260"/>
        <w:jc w:val="both"/>
      </w:pPr>
      <w:r>
        <w:rPr>
          <w:rFonts w:ascii="Calibri" w:cs="Calibri" w:eastAsia="Calibri" w:hAnsi="Calibri"/>
          <w:sz w:val="18"/>
          <w:szCs w:val="18"/>
        </w:rPr>
        <w:t xml:space="preserve">Au regard de la qualité de l’acheteur final, de la structure financière saine de la coopérative et du bon dénouement de la précédente autorisation malgré la crise de la filière, nous ne remettons pas en cause le principe du concours. Le calibrage des lignes est cohérent avec le volume d’activité attendu sur la grande campagne.</w:t>
      </w:r>
    </w:p>
    <w:p>
      <w:pPr>
        <w:spacing w:after="100" w:line="260"/>
        <w:jc w:val="both"/>
      </w:pPr>
      <w:r>
        <w:rPr>
          <w:rFonts w:ascii="Calibri" w:cs="Calibri" w:eastAsia="Calibri" w:hAnsi="Calibri"/>
          <w:b/>
          <w:bCs/>
          <w:sz w:val="18"/>
          <w:szCs w:val="18"/>
        </w:rPr>
        <w:t xml:space="preserve">Toutefois, le relèvement de la ligne de spot intervient dans un contexte de dégradation du dispositif de sécurisation </w:t>
      </w:r>
      <w:r>
        <w:rPr>
          <w:rFonts w:ascii="Calibri" w:cs="Calibri" w:eastAsia="Calibri" w:hAnsi="Calibri"/>
          <w:sz w:val="18"/>
          <w:szCs w:val="18"/>
        </w:rPr>
        <w:t xml:space="preserve">— déposit vidé de 210 MXOF le 21/07/2026, VM du PEI non honorés depuis mars, domiciliation non formalisée — </w:t>
      </w:r>
      <w:r>
        <w:rPr>
          <w:rFonts w:ascii="Calibri" w:cs="Calibri" w:eastAsia="Calibri" w:hAnsi="Calibri"/>
          <w:b/>
          <w:bCs/>
          <w:sz w:val="18"/>
          <w:szCs w:val="18"/>
        </w:rPr>
        <w:t xml:space="preserve">et de non-respect de deux engagements de la précédente autorisation </w:t>
      </w:r>
      <w:r>
        <w:rPr>
          <w:rFonts w:ascii="Calibri" w:cs="Calibri" w:eastAsia="Calibri" w:hAnsi="Calibri"/>
          <w:sz w:val="18"/>
          <w:szCs w:val="18"/>
        </w:rPr>
        <w:t xml:space="preserve">(proscription du revolving, domiciliation de 80 % du CA). Le retrait concomitant de la garantie IFC porterait le risque résiduel de 14 % à 64 % de l’exposition. Nous relevons en outre que la rentabilité unitaire projetée recule de 33 % à périmètre homogène, la progression affichée du résultat tenant à l’allongement de la période couverte et à l’intégration d’une prime non observée sur la campagne écoulée.</w:t>
      </w:r>
    </w:p>
    <w:p>
      <w:pPr>
        <w:spacing w:after="60" w:line="260"/>
        <w:jc w:val="both"/>
      </w:pPr>
      <w:r>
        <w:rPr>
          <w:rFonts w:ascii="Calibri" w:cs="Calibri" w:eastAsia="Calibri" w:hAnsi="Calibri"/>
          <w:sz w:val="18"/>
          <w:szCs w:val="18"/>
        </w:rPr>
        <w:t xml:space="preserve">En conséquence :</w:t>
      </w:r>
    </w:p>
    <w:p>
      <w:pPr>
        <w:pStyle w:val="ListParagraph"/>
        <w:numPr>
          <w:ilvl w:val="0"/>
          <w:numId w:val="2"/>
        </w:numPr>
        <w:spacing w:after="60" w:line="260"/>
        <w:jc w:val="both"/>
      </w:pPr>
      <w:r>
        <w:rPr>
          <w:rFonts w:ascii="Calibri" w:cs="Calibri" w:eastAsia="Calibri" w:hAnsi="Calibri"/>
          <w:b/>
          <w:bCs/>
          <w:sz w:val="18"/>
          <w:szCs w:val="18"/>
        </w:rPr>
        <w:t xml:space="preserve">Avis favorable au renouvellement de la ligne de spot pour 500 MXOF</w:t>
      </w:r>
      <w:r>
        <w:rPr>
          <w:rFonts w:ascii="Calibri" w:cs="Calibri" w:eastAsia="Calibri" w:hAnsi="Calibri"/>
          <w:sz w:val="18"/>
          <w:szCs w:val="18"/>
        </w:rPr>
        <w:t xml:space="preserve">, maturité portée à 4 mois pour s’adosser au délai de règlement CARGILL de 90 jours ;</w:t>
      </w:r>
    </w:p>
    <w:p>
      <w:pPr>
        <w:pStyle w:val="ListParagraph"/>
        <w:numPr>
          <w:ilvl w:val="0"/>
          <w:numId w:val="2"/>
        </w:numPr>
        <w:spacing w:after="60" w:line="260"/>
        <w:jc w:val="both"/>
      </w:pPr>
      <w:r>
        <w:rPr>
          <w:rFonts w:ascii="Calibri" w:cs="Calibri" w:eastAsia="Calibri" w:hAnsi="Calibri"/>
          <w:b/>
          <w:bCs/>
          <w:sz w:val="18"/>
          <w:szCs w:val="18"/>
        </w:rPr>
        <w:t xml:space="preserve">Avis favorable au relèvement complémentaire de 200 MXOF, sous condition suspensive</w:t>
      </w:r>
      <w:r>
        <w:rPr>
          <w:rFonts w:ascii="Calibri" w:cs="Calibri" w:eastAsia="Calibri" w:hAnsi="Calibri"/>
          <w:sz w:val="18"/>
          <w:szCs w:val="18"/>
        </w:rPr>
        <w:t xml:space="preserve"> de la reconstitution du déposit à 200 MXOF, de la régularisation des VM du PEI et de la production des contrats 2026/2027 ;</w:t>
      </w:r>
    </w:p>
    <w:p>
      <w:pPr>
        <w:pStyle w:val="ListParagraph"/>
        <w:numPr>
          <w:ilvl w:val="0"/>
          <w:numId w:val="2"/>
        </w:numPr>
        <w:spacing w:after="60" w:line="260"/>
        <w:jc w:val="both"/>
      </w:pPr>
      <w:r>
        <w:rPr>
          <w:rFonts w:ascii="Calibri" w:cs="Calibri" w:eastAsia="Calibri" w:hAnsi="Calibri"/>
          <w:b/>
          <w:bCs/>
          <w:sz w:val="18"/>
          <w:szCs w:val="18"/>
        </w:rPr>
        <w:t xml:space="preserve">Avis défavorable au retrait de la garantie IFC</w:t>
      </w:r>
      <w:r>
        <w:rPr>
          <w:rFonts w:ascii="Calibri" w:cs="Calibri" w:eastAsia="Calibri" w:hAnsi="Calibri"/>
          <w:sz w:val="18"/>
          <w:szCs w:val="18"/>
        </w:rPr>
        <w:t xml:space="preserve"> ; son maintien à 50 % conditionne notre accord sur le palier de 700 MXOF ;</w:t>
      </w:r>
    </w:p>
    <w:p>
      <w:pPr>
        <w:pStyle w:val="ListParagraph"/>
        <w:numPr>
          <w:ilvl w:val="0"/>
          <w:numId w:val="2"/>
        </w:numPr>
        <w:spacing w:after="60" w:line="260"/>
        <w:jc w:val="both"/>
      </w:pPr>
      <w:r>
        <w:rPr>
          <w:rFonts w:ascii="Calibri" w:cs="Calibri" w:eastAsia="Calibri" w:hAnsi="Calibri"/>
          <w:b/>
          <w:bCs/>
          <w:sz w:val="18"/>
          <w:szCs w:val="18"/>
        </w:rPr>
        <w:t xml:space="preserve">Financement limité à la grande campagne 2026/2027</w:t>
      </w:r>
      <w:r>
        <w:rPr>
          <w:rFonts w:ascii="Calibri" w:cs="Calibri" w:eastAsia="Calibri" w:hAnsi="Calibri"/>
          <w:sz w:val="18"/>
          <w:szCs w:val="18"/>
        </w:rPr>
        <w:t xml:space="preserve">, la petite traite devant faire l’objet d’un réexamen au vu du prix bord champ qui sera arrêté par le CCC ;</w:t>
      </w:r>
    </w:p>
    <w:p>
      <w:pPr>
        <w:pStyle w:val="ListParagraph"/>
        <w:numPr>
          <w:ilvl w:val="0"/>
          <w:numId w:val="2"/>
        </w:numPr>
        <w:spacing w:after="60" w:line="260"/>
        <w:jc w:val="both"/>
      </w:pPr>
      <w:r>
        <w:rPr>
          <w:rFonts w:ascii="Calibri" w:cs="Calibri" w:eastAsia="Calibri" w:hAnsi="Calibri"/>
          <w:b/>
          <w:bCs/>
          <w:sz w:val="18"/>
          <w:szCs w:val="18"/>
        </w:rPr>
        <w:t xml:space="preserve">Avis favorable à la mise en place du crédit-bail de 100 MXOF sur 48 mois</w:t>
      </w:r>
      <w:r>
        <w:rPr>
          <w:rFonts w:ascii="Calibri" w:cs="Calibri" w:eastAsia="Calibri" w:hAnsi="Calibri"/>
          <w:sz w:val="18"/>
          <w:szCs w:val="18"/>
        </w:rPr>
        <w:t xml:space="preserve">, sous réserve des factures proforma et de la constitution du DSRA.</w:t>
      </w:r>
    </w:p>
    <w:p>
      <w:pPr>
        <w:pBdr>
          <w:bottom w:val="single" w:color="C00000" w:sz="6"/>
        </w:pBdr>
        <w:spacing w:after="100" w:before="200"/>
      </w:pPr>
      <w:r>
        <w:rPr>
          <w:rFonts w:ascii="Calibri" w:cs="Calibri" w:eastAsia="Calibri" w:hAnsi="Calibri"/>
          <w:b/>
          <w:bCs/>
          <w:sz w:val="19"/>
          <w:szCs w:val="19"/>
        </w:rPr>
        <w:t xml:space="preserve">Réserves bloquantes</w:t>
      </w:r>
    </w:p>
    <w:p>
      <w:pPr>
        <w:pStyle w:val="ListParagraph"/>
        <w:numPr>
          <w:ilvl w:val="0"/>
          <w:numId w:val="2"/>
        </w:numPr>
        <w:spacing w:after="60" w:line="260"/>
        <w:jc w:val="both"/>
      </w:pPr>
      <w:r>
        <w:rPr>
          <w:rFonts w:ascii="Calibri" w:cs="Calibri" w:eastAsia="Calibri" w:hAnsi="Calibri"/>
          <w:sz w:val="18"/>
          <w:szCs w:val="18"/>
        </w:rPr>
        <w:t xml:space="preserve">Fournir la FRC du cautionnement solidaire du PCA (KABORE CLEMENT) et porter le montant du cautionnement à 800 MXOF ;</w:t>
      </w:r>
    </w:p>
    <w:p>
      <w:pPr>
        <w:pStyle w:val="ListParagraph"/>
        <w:numPr>
          <w:ilvl w:val="0"/>
          <w:numId w:val="2"/>
        </w:numPr>
        <w:spacing w:after="60" w:line="260"/>
        <w:jc w:val="both"/>
      </w:pPr>
      <w:r>
        <w:rPr>
          <w:rFonts w:ascii="Calibri" w:cs="Calibri" w:eastAsia="Calibri" w:hAnsi="Calibri"/>
          <w:sz w:val="18"/>
          <w:szCs w:val="18"/>
        </w:rPr>
        <w:t xml:space="preserve">Reconstituer le déposit à 200 MXOF (DI : 150 MXOF et prélèvement de 5 % sur les paiements perçus) et justifier le retrait de 210 MXOF du 21/07/2026 ;</w:t>
      </w:r>
    </w:p>
    <w:p>
      <w:pPr>
        <w:pStyle w:val="ListParagraph"/>
        <w:numPr>
          <w:ilvl w:val="0"/>
          <w:numId w:val="2"/>
        </w:numPr>
        <w:spacing w:after="60" w:line="260"/>
        <w:jc w:val="both"/>
      </w:pPr>
      <w:r>
        <w:rPr>
          <w:rFonts w:ascii="Calibri" w:cs="Calibri" w:eastAsia="Calibri" w:hAnsi="Calibri"/>
          <w:sz w:val="18"/>
          <w:szCs w:val="18"/>
        </w:rPr>
        <w:t xml:space="preserve">Régulariser les versements mensuels du compte PEI (SA de 25 MXOF contre 50 MXOF attendus) ;</w:t>
      </w:r>
    </w:p>
    <w:p>
      <w:pPr>
        <w:pStyle w:val="ListParagraph"/>
        <w:numPr>
          <w:ilvl w:val="0"/>
          <w:numId w:val="2"/>
        </w:numPr>
        <w:spacing w:after="60" w:line="260"/>
        <w:jc w:val="both"/>
      </w:pPr>
      <w:r>
        <w:rPr>
          <w:rFonts w:ascii="Calibri" w:cs="Calibri" w:eastAsia="Calibri" w:hAnsi="Calibri"/>
          <w:sz w:val="18"/>
          <w:szCs w:val="18"/>
        </w:rPr>
        <w:t xml:space="preserve">Formaliser et transmettre les actes de domiciliation irrévocable des règlements CARGILL et AFRICA SOURCING ;</w:t>
      </w:r>
    </w:p>
    <w:p>
      <w:pPr>
        <w:pStyle w:val="ListParagraph"/>
        <w:numPr>
          <w:ilvl w:val="0"/>
          <w:numId w:val="2"/>
        </w:numPr>
        <w:spacing w:after="60" w:line="260"/>
        <w:jc w:val="both"/>
      </w:pPr>
      <w:r>
        <w:rPr>
          <w:rFonts w:ascii="Calibri" w:cs="Calibri" w:eastAsia="Calibri" w:hAnsi="Calibri"/>
          <w:sz w:val="18"/>
          <w:szCs w:val="18"/>
        </w:rPr>
        <w:t xml:space="preserve">Fournir les contrats validés au titre de la campagne 2026/2027 ;</w:t>
      </w:r>
    </w:p>
    <w:p>
      <w:pPr>
        <w:pStyle w:val="ListParagraph"/>
        <w:numPr>
          <w:ilvl w:val="0"/>
          <w:numId w:val="2"/>
        </w:numPr>
        <w:spacing w:after="60" w:line="260"/>
        <w:jc w:val="both"/>
      </w:pPr>
      <w:r>
        <w:rPr>
          <w:rFonts w:ascii="Calibri" w:cs="Calibri" w:eastAsia="Calibri" w:hAnsi="Calibri"/>
          <w:sz w:val="18"/>
          <w:szCs w:val="18"/>
        </w:rPr>
        <w:t xml:space="preserve">Fournir les factures proforma des matériels objet du crédit-bail ;</w:t>
      </w:r>
    </w:p>
    <w:p>
      <w:pPr>
        <w:pStyle w:val="ListParagraph"/>
        <w:numPr>
          <w:ilvl w:val="0"/>
          <w:numId w:val="2"/>
        </w:numPr>
        <w:spacing w:after="60" w:line="260"/>
        <w:jc w:val="both"/>
      </w:pPr>
      <w:r>
        <w:rPr>
          <w:rFonts w:ascii="Calibri" w:cs="Calibri" w:eastAsia="Calibri" w:hAnsi="Calibri"/>
          <w:sz w:val="18"/>
          <w:szCs w:val="18"/>
        </w:rPr>
        <w:t xml:space="preserve">Créer le RCT dans NOVA et faire valider le PNC par RISQ, la note NOVA expirant le 19/08/2026 ;</w:t>
      </w:r>
    </w:p>
    <w:p>
      <w:pPr>
        <w:pStyle w:val="ListParagraph"/>
        <w:numPr>
          <w:ilvl w:val="0"/>
          <w:numId w:val="2"/>
        </w:numPr>
        <w:spacing w:after="60" w:line="260"/>
        <w:jc w:val="both"/>
      </w:pPr>
      <w:r>
        <w:rPr>
          <w:rFonts w:ascii="Calibri" w:cs="Calibri" w:eastAsia="Calibri" w:hAnsi="Calibri"/>
          <w:sz w:val="18"/>
          <w:szCs w:val="18"/>
        </w:rPr>
        <w:t xml:space="preserve">Obtenir du client une note explicative de son commissaire aux comptes sur l’absence de dettes et de frais financiers dans les états financiers 2025.</w:t>
      </w:r>
    </w:p>
    <w:p>
      <w:pPr>
        <w:pBdr>
          <w:bottom w:val="single" w:color="C00000" w:sz="6"/>
        </w:pBdr>
        <w:spacing w:after="100" w:before="200"/>
      </w:pPr>
      <w:r>
        <w:rPr>
          <w:rFonts w:ascii="Calibri" w:cs="Calibri" w:eastAsia="Calibri" w:hAnsi="Calibri"/>
          <w:b/>
          <w:bCs/>
          <w:sz w:val="19"/>
          <w:szCs w:val="19"/>
        </w:rPr>
        <w:t xml:space="preserve">Conditions de décaissement</w:t>
      </w:r>
    </w:p>
    <w:p>
      <w:pPr>
        <w:pStyle w:val="ListParagraph"/>
        <w:numPr>
          <w:ilvl w:val="0"/>
          <w:numId w:val="2"/>
        </w:numPr>
        <w:spacing w:after="60" w:line="260"/>
        <w:jc w:val="both"/>
      </w:pPr>
      <w:r>
        <w:rPr>
          <w:rFonts w:ascii="Calibri" w:cs="Calibri" w:eastAsia="Calibri" w:hAnsi="Calibri"/>
          <w:sz w:val="18"/>
          <w:szCs w:val="18"/>
        </w:rPr>
        <w:t xml:space="preserve">Encours unitaire par tirage plafonné à 250 MXOF, le premier décaissement étant fixé en fonction du coût de chaque livraison ;</w:t>
      </w:r>
    </w:p>
    <w:p>
      <w:pPr>
        <w:pStyle w:val="ListParagraph"/>
        <w:numPr>
          <w:ilvl w:val="0"/>
          <w:numId w:val="2"/>
        </w:numPr>
        <w:spacing w:after="60" w:line="260"/>
        <w:jc w:val="both"/>
      </w:pPr>
      <w:r>
        <w:rPr>
          <w:rFonts w:ascii="Calibri" w:cs="Calibri" w:eastAsia="Calibri" w:hAnsi="Calibri"/>
          <w:sz w:val="18"/>
          <w:szCs w:val="18"/>
        </w:rPr>
        <w:t xml:space="preserve">Décaissements suivants subordonnés à la production d’évidences de livraison (bon de livraison et rapport qualité) en cours de règlement auprès de la GE ;</w:t>
      </w:r>
    </w:p>
    <w:p>
      <w:pPr>
        <w:pStyle w:val="ListParagraph"/>
        <w:numPr>
          <w:ilvl w:val="0"/>
          <w:numId w:val="2"/>
        </w:numPr>
        <w:spacing w:after="60" w:line="260"/>
        <w:jc w:val="both"/>
      </w:pPr>
      <w:r>
        <w:rPr>
          <w:rFonts w:ascii="Calibri" w:cs="Calibri" w:eastAsia="Calibri" w:hAnsi="Calibri"/>
          <w:sz w:val="18"/>
          <w:szCs w:val="18"/>
        </w:rPr>
        <w:t xml:space="preserve">Domiciliation des règlements sur un sous-compte dédié permettant le suivi des garanties progressives et l’anticipation des tombées de SPOT ;</w:t>
      </w:r>
    </w:p>
    <w:p>
      <w:pPr>
        <w:pStyle w:val="ListParagraph"/>
        <w:numPr>
          <w:ilvl w:val="0"/>
          <w:numId w:val="2"/>
        </w:numPr>
        <w:spacing w:after="60" w:line="260"/>
        <w:jc w:val="both"/>
      </w:pPr>
      <w:r>
        <w:rPr>
          <w:rFonts w:ascii="Calibri" w:cs="Calibri" w:eastAsia="Calibri" w:hAnsi="Calibri"/>
          <w:sz w:val="18"/>
          <w:szCs w:val="18"/>
        </w:rPr>
        <w:t xml:space="preserve">Financement limité au cacao certifié ;</w:t>
      </w:r>
    </w:p>
    <w:p>
      <w:pPr>
        <w:pStyle w:val="ListParagraph"/>
        <w:numPr>
          <w:ilvl w:val="0"/>
          <w:numId w:val="2"/>
        </w:numPr>
        <w:spacing w:after="60" w:line="260"/>
        <w:jc w:val="both"/>
      </w:pPr>
      <w:r>
        <w:rPr>
          <w:rFonts w:ascii="Calibri" w:cs="Calibri" w:eastAsia="Calibri" w:hAnsi="Calibri"/>
          <w:sz w:val="18"/>
          <w:szCs w:val="18"/>
        </w:rPr>
        <w:t xml:space="preserve">Aucun tirage postérieur au 28/02/2027, terme de la grande campagne selon le nouveau calendrier du CCC ;</w:t>
      </w:r>
    </w:p>
    <w:p>
      <w:pPr>
        <w:pStyle w:val="ListParagraph"/>
        <w:numPr>
          <w:ilvl w:val="0"/>
          <w:numId w:val="2"/>
        </w:numPr>
        <w:spacing w:after="60" w:line="260"/>
        <w:jc w:val="both"/>
      </w:pPr>
      <w:r>
        <w:rPr>
          <w:rFonts w:ascii="Calibri" w:cs="Calibri" w:eastAsia="Calibri" w:hAnsi="Calibri"/>
          <w:sz w:val="18"/>
          <w:szCs w:val="18"/>
        </w:rPr>
        <w:t xml:space="preserve">Libération du palier complémentaire de 200 MXOF subordonnée à la fixation du prix bord champ par le CCC et au réexamen du calibrage sur cette base.</w:t>
      </w:r>
    </w:p>
    <w:p>
      <w:pPr>
        <w:pBdr>
          <w:bottom w:val="single" w:color="C00000" w:sz="6"/>
        </w:pBdr>
        <w:spacing w:after="100" w:before="200"/>
      </w:pPr>
      <w:r>
        <w:rPr>
          <w:rFonts w:ascii="Calibri" w:cs="Calibri" w:eastAsia="Calibri" w:hAnsi="Calibri"/>
          <w:b/>
          <w:bCs/>
          <w:sz w:val="19"/>
          <w:szCs w:val="19"/>
        </w:rPr>
        <w:t xml:space="preserve">Points de suivi</w:t>
      </w:r>
    </w:p>
    <w:p>
      <w:pPr>
        <w:pStyle w:val="ListParagraph"/>
        <w:numPr>
          <w:ilvl w:val="0"/>
          <w:numId w:val="2"/>
        </w:numPr>
        <w:spacing w:after="60" w:line="260"/>
        <w:jc w:val="both"/>
      </w:pPr>
      <w:r>
        <w:rPr>
          <w:rFonts w:ascii="Calibri" w:cs="Calibri" w:eastAsia="Calibri" w:hAnsi="Calibri"/>
          <w:sz w:val="18"/>
          <w:szCs w:val="18"/>
        </w:rPr>
        <w:t xml:space="preserve">Ramener le taux de domiciliation à 80 % du CA minimum, avec point d’étape à fin novembre 2026 ;</w:t>
      </w:r>
    </w:p>
    <w:p>
      <w:pPr>
        <w:pStyle w:val="ListParagraph"/>
        <w:numPr>
          <w:ilvl w:val="0"/>
          <w:numId w:val="2"/>
        </w:numPr>
        <w:spacing w:after="60" w:line="260"/>
        <w:jc w:val="both"/>
      </w:pPr>
      <w:r>
        <w:rPr>
          <w:rFonts w:ascii="Calibri" w:cs="Calibri" w:eastAsia="Calibri" w:hAnsi="Calibri"/>
          <w:sz w:val="18"/>
          <w:szCs w:val="18"/>
        </w:rPr>
        <w:t xml:space="preserve">Proscrire l’utilisation revolving : clean-up intégral de la ligne de spot pendant 30 jours consécutifs sur le mois d’août 2027, aucun tirage n’étant autorisé au-delà du 28/02/2027 ;</w:t>
      </w:r>
    </w:p>
    <w:p>
      <w:pPr>
        <w:pStyle w:val="ListParagraph"/>
        <w:numPr>
          <w:ilvl w:val="0"/>
          <w:numId w:val="2"/>
        </w:numPr>
        <w:spacing w:after="60" w:line="260"/>
        <w:jc w:val="both"/>
      </w:pPr>
      <w:r>
        <w:rPr>
          <w:rFonts w:ascii="Calibri" w:cs="Calibri" w:eastAsia="Calibri" w:hAnsi="Calibri"/>
          <w:sz w:val="18"/>
          <w:szCs w:val="18"/>
        </w:rPr>
        <w:t xml:space="preserve">Reporting bimensuel de l’utilisation des lignes, à faire suivre à RISQ ;</w:t>
      </w:r>
    </w:p>
    <w:p>
      <w:pPr>
        <w:pStyle w:val="ListParagraph"/>
        <w:numPr>
          <w:ilvl w:val="0"/>
          <w:numId w:val="2"/>
        </w:numPr>
        <w:spacing w:after="60" w:line="260"/>
        <w:jc w:val="both"/>
      </w:pPr>
      <w:r>
        <w:rPr>
          <w:rFonts w:ascii="Calibri" w:cs="Calibri" w:eastAsia="Calibri" w:hAnsi="Calibri"/>
          <w:sz w:val="18"/>
          <w:szCs w:val="18"/>
        </w:rPr>
        <w:t xml:space="preserve">S’assurer que les encaissements reçus des GE couvrent nos encours lors des tirages successifs ;</w:t>
      </w:r>
    </w:p>
    <w:p>
      <w:pPr>
        <w:pStyle w:val="ListParagraph"/>
        <w:numPr>
          <w:ilvl w:val="0"/>
          <w:numId w:val="2"/>
        </w:numPr>
        <w:spacing w:after="60" w:line="260"/>
        <w:jc w:val="both"/>
      </w:pPr>
      <w:r>
        <w:rPr>
          <w:rFonts w:ascii="Calibri" w:cs="Calibri" w:eastAsia="Calibri" w:hAnsi="Calibri"/>
          <w:sz w:val="18"/>
          <w:szCs w:val="18"/>
        </w:rPr>
        <w:t xml:space="preserve">Suivre l’évolution du prix bord champ fixé par le CCC et son incidence sur le besoin de financement ;</w:t>
      </w:r>
    </w:p>
    <w:p>
      <w:pPr>
        <w:pStyle w:val="ListParagraph"/>
        <w:numPr>
          <w:ilvl w:val="0"/>
          <w:numId w:val="2"/>
        </w:numPr>
        <w:spacing w:after="60" w:line="260"/>
        <w:jc w:val="both"/>
      </w:pPr>
      <w:r>
        <w:rPr>
          <w:rFonts w:ascii="Calibri" w:cs="Calibri" w:eastAsia="Calibri" w:hAnsi="Calibri"/>
          <w:sz w:val="18"/>
          <w:szCs w:val="18"/>
        </w:rPr>
        <w:t xml:space="preserve">Suivre l’avancement de l’enrôlement des producteurs au titre de la carte du producteur et de la conformité EUDR ;</w:t>
      </w:r>
    </w:p>
    <w:p>
      <w:pPr>
        <w:pStyle w:val="ListParagraph"/>
        <w:numPr>
          <w:ilvl w:val="0"/>
          <w:numId w:val="2"/>
        </w:numPr>
        <w:spacing w:after="60" w:line="260"/>
        <w:jc w:val="both"/>
      </w:pPr>
      <w:r>
        <w:rPr>
          <w:rFonts w:ascii="Calibri" w:cs="Calibri" w:eastAsia="Calibri" w:hAnsi="Calibri"/>
          <w:sz w:val="18"/>
          <w:szCs w:val="18"/>
        </w:rPr>
        <w:t xml:space="preserve">Obtenir des situations intermédiaires semestrielles.</w:t>
      </w:r>
    </w:p>
    <w:p>
      <w:pPr>
        <w:pBdr>
          <w:bottom w:val="single" w:color="C00000" w:sz="6"/>
        </w:pBdr>
        <w:spacing w:after="100" w:before="200"/>
      </w:pPr>
      <w:r>
        <w:rPr>
          <w:rFonts w:ascii="Calibri" w:cs="Calibri" w:eastAsia="Calibri" w:hAnsi="Calibri"/>
          <w:b/>
          <w:bCs/>
          <w:sz w:val="19"/>
          <w:szCs w:val="19"/>
        </w:rPr>
        <w:t xml:space="preserve">Notation</w:t>
      </w:r>
    </w:p>
    <w:p>
      <w:pPr>
        <w:spacing w:after="100" w:line="260"/>
        <w:jc w:val="both"/>
      </w:pPr>
      <w:r>
        <w:rPr>
          <w:rFonts w:ascii="Calibri" w:cs="Calibri" w:eastAsia="Calibri" w:hAnsi="Calibri"/>
          <w:sz w:val="18"/>
          <w:szCs w:val="18"/>
        </w:rPr>
        <w:t xml:space="preserve">Note NOVA DE/DL : 6+/6+ en PNC, valide jusqu’au 19/08/2026. La note calculée sur la base des EF audités 2025 ressort à 6+/5-. Compte tenu de l’évolution des chiffres et des réserves sur la fiabilité des états financiers, nous recommandons de retenir la note calculée.</w:t>
      </w:r>
    </w:p>
    <w:p>
      <w:pPr>
        <w:shd w:fill="D9D9D9" w:val="clear"/>
        <w:spacing w:after="120" w:before="240"/>
      </w:pPr>
      <w:r>
        <w:rPr>
          <w:rFonts w:ascii="Calibri" w:cs="Calibri" w:eastAsia="Calibri" w:hAnsi="Calibri"/>
          <w:b/>
          <w:bCs/>
          <w:sz w:val="20"/>
          <w:szCs w:val="20"/>
        </w:rPr>
        <w:t xml:space="preserve">RECOMMANDATION</w:t>
      </w:r>
    </w:p>
    <w:tbl>
      <w:tblPr>
        <w:tblW w:type="dxa" w:w="9638"/>
        <w:tblBorders>
          <w:top w:val="single" w:color="808080" w:sz="4"/>
          <w:left w:val="single" w:color="808080" w:sz="4"/>
          <w:bottom w:val="single" w:color="808080" w:sz="4"/>
          <w:right w:val="single" w:color="808080" w:sz="4"/>
          <w:insideH w:val="single" w:color="A6A6A6" w:sz="2"/>
          <w:insideV w:val="single" w:color="A6A6A6" w:sz="2"/>
        </w:tblBorders>
      </w:tblPr>
      <w:tblGrid>
        <w:gridCol w:w="1738"/>
        <w:gridCol w:w="1250"/>
        <w:gridCol w:w="1350"/>
        <w:gridCol w:w="1150"/>
        <w:gridCol w:w="1350"/>
        <w:gridCol w:w="1500"/>
        <w:gridCol w:w="1300"/>
      </w:tblGrid>
      <w:tr>
        <w:trPr>
          <w:tblHeader/>
        </w:trPr>
        <w:tc>
          <w:tcPr>
            <w:tcW w:type="dxa" w:w="1738"/>
            <w:shd w:fill="D9D9D9"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en Millions (XOF)</w:t>
            </w:r>
          </w:p>
        </w:tc>
        <w:tc>
          <w:tcPr>
            <w:tcW w:type="dxa" w:w="12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Engmts au 13/08/26</w:t>
            </w:r>
          </w:p>
        </w:tc>
        <w:tc>
          <w:tcPr>
            <w:tcW w:type="dxa" w:w="13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Précédentes Aut.</w:t>
            </w:r>
          </w:p>
        </w:tc>
        <w:tc>
          <w:tcPr>
            <w:tcW w:type="dxa" w:w="11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Échéance</w:t>
            </w:r>
          </w:p>
        </w:tc>
        <w:tc>
          <w:tcPr>
            <w:tcW w:type="dxa" w:w="13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Aut. Sollicitées</w:t>
            </w:r>
          </w:p>
        </w:tc>
        <w:tc>
          <w:tcPr>
            <w:tcW w:type="dxa" w:w="15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Montant recommandé</w:t>
            </w:r>
          </w:p>
        </w:tc>
        <w:tc>
          <w:tcPr>
            <w:tcW w:type="dxa" w:w="13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Maturité / DVA</w:t>
            </w:r>
          </w:p>
        </w:tc>
      </w:tr>
      <w:tr>
        <w:tc>
          <w:tcPr>
            <w:tcW w:type="dxa" w:w="17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Spot</w:t>
            </w:r>
          </w:p>
        </w:tc>
        <w:tc>
          <w:tcPr>
            <w:tcW w:type="dxa" w:w="12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250</w:t>
            </w:r>
          </w:p>
        </w:tc>
        <w:tc>
          <w:tcPr>
            <w:tcW w:type="dxa" w:w="13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500</w:t>
            </w:r>
          </w:p>
        </w:tc>
        <w:tc>
          <w:tcPr>
            <w:tcW w:type="dxa" w:w="11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31/08/2026</w:t>
            </w:r>
          </w:p>
        </w:tc>
        <w:tc>
          <w:tcPr>
            <w:tcW w:type="dxa" w:w="13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700</w:t>
            </w:r>
          </w:p>
        </w:tc>
        <w:tc>
          <w:tcPr>
            <w:tcW w:type="dxa" w:w="15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500 + 200 (CS)</w:t>
            </w:r>
          </w:p>
        </w:tc>
        <w:tc>
          <w:tcPr>
            <w:tcW w:type="dxa" w:w="13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 mois / 12 mois</w:t>
            </w:r>
          </w:p>
        </w:tc>
      </w:tr>
      <w:tr>
        <w:tc>
          <w:tcPr>
            <w:tcW w:type="dxa" w:w="17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Ss-total crédits par caisse</w:t>
            </w:r>
          </w:p>
        </w:tc>
        <w:tc>
          <w:tcPr>
            <w:tcW w:type="dxa" w:w="12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250</w:t>
            </w:r>
          </w:p>
        </w:tc>
        <w:tc>
          <w:tcPr>
            <w:tcW w:type="dxa" w:w="13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500</w:t>
            </w:r>
          </w:p>
        </w:tc>
        <w:tc>
          <w:tcPr>
            <w:tcW w:type="dxa" w:w="11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700</w:t>
            </w:r>
          </w:p>
        </w:tc>
        <w:tc>
          <w:tcPr>
            <w:tcW w:type="dxa" w:w="15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700</w:t>
            </w:r>
          </w:p>
        </w:tc>
        <w:tc>
          <w:tcPr>
            <w:tcW w:type="dxa" w:w="13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r>
      <w:tr>
        <w:tc>
          <w:tcPr>
            <w:tcW w:type="dxa" w:w="1738"/>
            <w:tcMar>
              <w:top w:type="dxa" w:w="40"/>
              <w:left w:type="dxa" w:w="80"/>
              <w:bottom w:type="dxa" w:w="40"/>
              <w:right w:type="dxa" w:w="80"/>
            </w:tcMar>
            <w:vAlign w:val="center"/>
          </w:tcPr>
          <w:p>
            <w:pPr>
              <w:spacing w:after="0" w:line="240"/>
              <w:jc w:val="left"/>
            </w:pPr>
            <w:r>
              <w:rPr>
                <w:rFonts w:ascii="Calibri" w:cs="Calibri" w:eastAsia="Calibri" w:hAnsi="Calibri"/>
                <w:sz w:val="17"/>
                <w:szCs w:val="17"/>
              </w:rPr>
              <w:t xml:space="preserve">CB</w:t>
            </w:r>
          </w:p>
        </w:tc>
        <w:tc>
          <w:tcPr>
            <w:tcW w:type="dxa" w:w="12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w:t>
            </w:r>
          </w:p>
        </w:tc>
        <w:tc>
          <w:tcPr>
            <w:tcW w:type="dxa" w:w="13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w:t>
            </w:r>
          </w:p>
        </w:tc>
        <w:tc>
          <w:tcPr>
            <w:tcW w:type="dxa" w:w="11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
            </w:r>
          </w:p>
        </w:tc>
        <w:tc>
          <w:tcPr>
            <w:tcW w:type="dxa" w:w="135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100</w:t>
            </w:r>
          </w:p>
        </w:tc>
        <w:tc>
          <w:tcPr>
            <w:tcW w:type="dxa" w:w="15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100</w:t>
            </w:r>
          </w:p>
        </w:tc>
        <w:tc>
          <w:tcPr>
            <w:tcW w:type="dxa" w:w="1300"/>
            <w:tcMar>
              <w:top w:type="dxa" w:w="40"/>
              <w:left w:type="dxa" w:w="80"/>
              <w:bottom w:type="dxa" w:w="40"/>
              <w:right w:type="dxa" w:w="80"/>
            </w:tcMar>
            <w:vAlign w:val="center"/>
          </w:tcPr>
          <w:p>
            <w:pPr>
              <w:spacing w:after="0" w:line="240"/>
              <w:jc w:val="center"/>
            </w:pPr>
            <w:r>
              <w:rPr>
                <w:rFonts w:ascii="Calibri" w:cs="Calibri" w:eastAsia="Calibri" w:hAnsi="Calibri"/>
                <w:sz w:val="17"/>
                <w:szCs w:val="17"/>
              </w:rPr>
              <w:t xml:space="preserve">48 mois / 6 mois</w:t>
            </w:r>
          </w:p>
        </w:tc>
      </w:tr>
      <w:tr>
        <w:tc>
          <w:tcPr>
            <w:tcW w:type="dxa" w:w="1738"/>
            <w:shd w:fill="F2F2F2"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Ss-total crédits MT</w:t>
            </w:r>
          </w:p>
        </w:tc>
        <w:tc>
          <w:tcPr>
            <w:tcW w:type="dxa" w:w="12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1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100</w:t>
            </w:r>
          </w:p>
        </w:tc>
        <w:tc>
          <w:tcPr>
            <w:tcW w:type="dxa" w:w="15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100</w:t>
            </w:r>
          </w:p>
        </w:tc>
        <w:tc>
          <w:tcPr>
            <w:tcW w:type="dxa" w:w="1300"/>
            <w:shd w:fill="F2F2F2"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r>
      <w:tr>
        <w:tc>
          <w:tcPr>
            <w:tcW w:type="dxa" w:w="1738"/>
            <w:shd w:fill="D9D9D9" w:val="clear"/>
            <w:tcMar>
              <w:top w:type="dxa" w:w="40"/>
              <w:left w:type="dxa" w:w="80"/>
              <w:bottom w:type="dxa" w:w="40"/>
              <w:right w:type="dxa" w:w="80"/>
            </w:tcMar>
            <w:vAlign w:val="center"/>
          </w:tcPr>
          <w:p>
            <w:pPr>
              <w:spacing w:after="0" w:line="240"/>
              <w:jc w:val="left"/>
            </w:pPr>
            <w:r>
              <w:rPr>
                <w:rFonts w:ascii="Calibri" w:cs="Calibri" w:eastAsia="Calibri" w:hAnsi="Calibri"/>
                <w:b/>
                <w:bCs/>
                <w:sz w:val="17"/>
                <w:szCs w:val="17"/>
              </w:rPr>
              <w:t xml:space="preserve">Total Aut. Sollicitées</w:t>
            </w:r>
          </w:p>
        </w:tc>
        <w:tc>
          <w:tcPr>
            <w:tcW w:type="dxa" w:w="12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1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c>
          <w:tcPr>
            <w:tcW w:type="dxa" w:w="135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800</w:t>
            </w:r>
          </w:p>
        </w:tc>
        <w:tc>
          <w:tcPr>
            <w:tcW w:type="dxa" w:w="15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800</w:t>
            </w:r>
          </w:p>
        </w:tc>
        <w:tc>
          <w:tcPr>
            <w:tcW w:type="dxa" w:w="1300"/>
            <w:shd w:fill="D9D9D9" w:val="clear"/>
            <w:tcMar>
              <w:top w:type="dxa" w:w="40"/>
              <w:left w:type="dxa" w:w="80"/>
              <w:bottom w:type="dxa" w:w="40"/>
              <w:right w:type="dxa" w:w="80"/>
            </w:tcMar>
            <w:vAlign w:val="center"/>
          </w:tcPr>
          <w:p>
            <w:pPr>
              <w:spacing w:after="0" w:line="240"/>
              <w:jc w:val="center"/>
            </w:pPr>
            <w:r>
              <w:rPr>
                <w:rFonts w:ascii="Calibri" w:cs="Calibri" w:eastAsia="Calibri" w:hAnsi="Calibri"/>
                <w:b/>
                <w:bCs/>
                <w:sz w:val="17"/>
                <w:szCs w:val="17"/>
              </w:rPr>
              <w:t xml:space="preserve"/>
            </w:r>
          </w:p>
        </w:tc>
      </w:tr>
    </w:tbl>
    <w:p>
      <w:pPr>
        <w:spacing w:after="0" w:line="260"/>
        <w:jc w:val="both"/>
      </w:pPr>
      <w:r>
        <w:rPr>
          <w:rFonts w:ascii="Calibri" w:cs="Calibri" w:eastAsia="Calibri" w:hAnsi="Calibri"/>
          <w:i/>
          <w:iCs/>
          <w:sz w:val="16"/>
          <w:szCs w:val="16"/>
        </w:rPr>
        <w:t xml:space="preserve">CS : condition suspensive — reconstitution du déposit à 200 MXOF, régularisation des VM du PEI, production des contrats 2026/2027 et maintien de la garantie IFC à 50 %.</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2026-08-17T05:51:04.867Z</dcterms:created>
  <dcterms:modified xsi:type="dcterms:W3CDTF">2026-08-17T05:51:04.881Z</dcterms:modified>
</cp:coreProperties>
</file>

<file path=docProps/custom.xml><?xml version="1.0" encoding="utf-8"?>
<Properties xmlns="http://schemas.openxmlformats.org/officeDocument/2006/custom-properties" xmlns:vt="http://schemas.openxmlformats.org/officeDocument/2006/docPropsVTypes"/>
</file>