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666666"/>
          <w:sz w:val="18"/>
          <w:szCs w:val="18"/>
        </w:rPr>
        <w:t xml:space="preserve">SOCIÉTÉ GÉNÉRALE CÔTE D'IVOIRE — DIRECTION DES RISQUES DE CRÉDIT</w:t>
      </w:r>
    </w:p>
    <w:p>
      <w:pPr>
        <w:spacing w:after="200"/>
      </w:pPr>
      <w:r>
        <w:rPr>
          <w:i/>
          <w:iCs/>
          <w:color w:val="666666"/>
          <w:sz w:val="18"/>
          <w:szCs w:val="18"/>
        </w:rPr>
        <w:t xml:space="preserve">Note d'analyse risque crédit</w:t>
      </w:r>
    </w:p>
    <w:p>
      <w:pPr>
        <w:spacing w:after="60"/>
      </w:pPr>
      <w:r>
        <w:rPr>
          <w:b/>
          <w:bCs/>
          <w:color w:val="4B2E83"/>
          <w:sz w:val="40"/>
          <w:szCs w:val="40"/>
        </w:rPr>
        <w:t xml:space="preserve">Analyse Financière et Cartographie des Risques</w:t>
      </w:r>
    </w:p>
    <w:p>
      <w:pPr>
        <w:spacing w:after="300"/>
      </w:pPr>
      <w:r>
        <w:rPr>
          <w:b/>
          <w:bCs/>
          <w:color w:val="000000"/>
          <w:sz w:val="28"/>
          <w:szCs w:val="28"/>
        </w:rPr>
        <w:t xml:space="preserve">ADVANS CI — Institution de Microfinance</w:t>
      </w:r>
    </w:p>
    <w:p>
      <w:pPr>
        <w:spacing w:after="60"/>
      </w:pPr>
      <w:r>
        <w:rPr>
          <w:color w:val="666666"/>
          <w:sz w:val="18"/>
          <w:szCs w:val="18"/>
        </w:rPr>
        <w:t xml:space="preserve">Client : ADVANS CI (n° RCT AVW2972)  |  Activité : Microfinance  |  Norme comptable : SYSCOHA  |  Audité : NON  |  Devise : XOF</w:t>
      </w:r>
    </w:p>
    <w:p>
      <w:pPr>
        <w:spacing w:after="400"/>
      </w:pPr>
      <w:r>
        <w:rPr>
          <w:i/>
          <w:iCs/>
          <w:color w:val="666666"/>
          <w:sz w:val="18"/>
          <w:szCs w:val="18"/>
        </w:rPr>
        <w:t xml:space="preserve">Périmètre d'analyse : exercices clos 31/12/2023, 31/12/2024, 31/12/2025 ; situation provisoire à mai 2025 (indicateurs de portefeuille).</w:t>
      </w:r>
    </w:p>
    <w:p>
      <w:pPr>
        <w:pStyle w:val="Heading1"/>
        <w:pBdr>
          <w:bottom w:val="single" w:color="4B2E83" w:sz="6" w:space="4"/>
        </w:pBdr>
        <w:spacing w:after="150" w:before="300"/>
      </w:pPr>
      <w:r>
        <w:rPr>
          <w:b/>
          <w:bCs/>
          <w:color w:val="4B2E83"/>
          <w:sz w:val="28"/>
          <w:szCs w:val="28"/>
        </w:rPr>
        <w:t xml:space="preserve">I. Profil de croissance et structure bilancielle</w:t>
      </w:r>
    </w:p>
    <w:p>
      <w:pPr>
        <w:spacing w:after="160" w:line="276"/>
        <w:jc w:val="both"/>
      </w:pPr>
      <w:r>
        <w:rPr>
          <w:sz w:val="21"/>
          <w:szCs w:val="21"/>
        </w:rPr>
        <w:t xml:space="preserve">Le bilan d'Advans CI croît de 98,5 à 115,9 Mrds XOF sur 2023-2025 (+6% puis +11%), une accélération portée par le portefeuille de crédit qui passe de 86 à 100 Mrds (+5% puis +10%). L'élément notable n'est pas la croissance elle-même mais son mode de financement : les dépôts clientèle progressent de 71% à 76% du passif, tandis que les dettes envers institutions financières reculent en poids (6%→5%) et en valeur absolue en 2025 (-10%). Advans CI substitue donc progressivement du refinancement institutionnel par de la collecte propre, un mouvement structurellement positif en termes de coût de financement et de dépendance externe, mais qui interroge sur sa nature : choix stratégique de désintermédiation, ou contrainte d'accès aux lignes institutionnelles.</w:t>
      </w:r>
    </w:p>
    <w:p>
      <w:pPr>
        <w:spacing w:after="160" w:line="276"/>
        <w:jc w:val="both"/>
      </w:pPr>
      <w:r>
        <w:rPr>
          <w:b/>
          <w:bCs/>
          <w:sz w:val="21"/>
          <w:szCs w:val="21"/>
        </w:rPr>
        <w:t xml:space="preserve">Point de vigilance : </w:t>
      </w:r>
      <w:r>
        <w:rPr>
          <w:sz w:val="21"/>
          <w:szCs w:val="21"/>
        </w:rPr>
        <w:t xml:space="preserve">les fonds propres progressent en valeur absolue (18,0 à 20,0 Mrds) mais reculent en poids relatif dans le bilan (18%→17%), le total bilan croissant plus vite que l'accumulation de résultats, ce qui constitue un premier signal sur la capacité future d'absorption de croissance.</w:t>
      </w:r>
    </w:p>
    <w:p>
      <w:pPr>
        <w:pStyle w:val="Heading1"/>
        <w:pBdr>
          <w:bottom w:val="single" w:color="4B2E83" w:sz="6" w:space="4"/>
        </w:pBdr>
        <w:spacing w:after="150" w:before="300"/>
      </w:pPr>
      <w:r>
        <w:rPr>
          <w:b/>
          <w:bCs/>
          <w:color w:val="4B2E83"/>
          <w:sz w:val="28"/>
          <w:szCs w:val="28"/>
        </w:rPr>
        <w:t xml:space="preserve">II. Rentabilité : un effet ciseau qui s'installe</w:t>
      </w:r>
    </w:p>
    <w:p>
      <w:pPr>
        <w:spacing w:after="160" w:line="276"/>
        <w:jc w:val="both"/>
      </w:pPr>
      <w:r>
        <w:rPr>
          <w:sz w:val="21"/>
          <w:szCs w:val="21"/>
        </w:rPr>
        <w:t xml:space="preserve">Le PNB progresse en cohérence avec l'activité (+6%, +11%), mais le résultat net régresse sur la même période (-29% en 2024, -5% en 2025), un effet ciseau qui s'installe durablement. Le coefficient d'exploitation reste stable (71%→72%→70%), ce qui écarte les charges de structure comme facteur explicatif de cette dégradation. C'est le coût net du risque qui tire la rentabilité vers le bas, progressant nettement plus vite que le PNB et le portefeuille (+25% puis +36%, contre +6%/+11% et +5%/+10% respectivement). Le ROA (13%→9%→8%) et le ratio Résultat net/PNB (16%→11%→9%) confirment un effritement structurel, et non conjoncturel, de la rentabilité, directement corrélé à la détérioration du risque de crédit plutôt qu'à un problème de gestion des charges.</w:t>
      </w:r>
    </w:p>
    <w:p>
      <w:pPr>
        <w:spacing w:after="200" w:before="100"/>
      </w:pPr>
      <w:r>
        <w:rPr>
          <w:b/>
          <w:bCs/>
          <w:color w:val="4B2E83"/>
          <w:sz w:val="20"/>
          <w:szCs w:val="20"/>
        </w:rPr>
        <w:t xml:space="preserve">Indicateurs clés — vue consolidée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1450"/>
        <w:gridCol w:w="1450"/>
        <w:gridCol w:w="1450"/>
        <w:gridCol w:w="1450"/>
      </w:tblGrid>
      <w:tr>
        <w:tc>
          <w:tcPr>
            <w:tcW w:type="dxa" w:w="3550"/>
            <w:shd w:fill="4B2E83" w:val="clear"/>
            <w:tcMar>
              <w:top w:type="dxa" w:w="80"/>
              <w:left w:type="dxa" w:w="100"/>
              <w:bottom w:type="dxa" w:w="80"/>
              <w:right w:type="dxa" w:w="100"/>
            </w:tcMar>
          </w:tcPr>
          <w:p>
            <w:pPr>
              <w:jc w:val="left"/>
            </w:pPr>
            <w:r>
              <w:rPr>
                <w:b/>
                <w:bCs/>
                <w:color w:val="FFFFFF"/>
                <w:sz w:val="19"/>
                <w:szCs w:val="19"/>
              </w:rPr>
              <w:t xml:space="preserve">Indicateur</w:t>
            </w:r>
          </w:p>
        </w:tc>
        <w:tc>
          <w:tcPr>
            <w:tcW w:type="dxa" w:w="1450"/>
            <w:shd w:fill="4B2E83" w:val="clear"/>
            <w:tcMar>
              <w:top w:type="dxa" w:w="80"/>
              <w:left w:type="dxa" w:w="100"/>
              <w:bottom w:type="dxa" w:w="80"/>
              <w:right w:type="dxa" w:w="100"/>
            </w:tcMar>
          </w:tcPr>
          <w:p>
            <w:pPr>
              <w:jc w:val="center"/>
            </w:pPr>
            <w:r>
              <w:rPr>
                <w:b/>
                <w:bCs/>
                <w:color w:val="FFFFFF"/>
                <w:sz w:val="19"/>
                <w:szCs w:val="19"/>
              </w:rPr>
              <w:t xml:space="preserve">2023</w:t>
            </w:r>
          </w:p>
        </w:tc>
        <w:tc>
          <w:tcPr>
            <w:tcW w:type="dxa" w:w="1450"/>
            <w:shd w:fill="4B2E83" w:val="clear"/>
            <w:tcMar>
              <w:top w:type="dxa" w:w="80"/>
              <w:left w:type="dxa" w:w="100"/>
              <w:bottom w:type="dxa" w:w="80"/>
              <w:right w:type="dxa" w:w="100"/>
            </w:tcMar>
          </w:tcPr>
          <w:p>
            <w:pPr>
              <w:jc w:val="center"/>
            </w:pPr>
            <w:r>
              <w:rPr>
                <w:b/>
                <w:bCs/>
                <w:color w:val="FFFFFF"/>
                <w:sz w:val="19"/>
                <w:szCs w:val="19"/>
              </w:rPr>
              <w:t xml:space="preserve">2024</w:t>
            </w:r>
          </w:p>
        </w:tc>
        <w:tc>
          <w:tcPr>
            <w:tcW w:type="dxa" w:w="1450"/>
            <w:shd w:fill="4B2E83" w:val="clear"/>
            <w:tcMar>
              <w:top w:type="dxa" w:w="80"/>
              <w:left w:type="dxa" w:w="100"/>
              <w:bottom w:type="dxa" w:w="80"/>
              <w:right w:type="dxa" w:w="100"/>
            </w:tcMar>
          </w:tcPr>
          <w:p>
            <w:pPr>
              <w:jc w:val="center"/>
            </w:pPr>
            <w:r>
              <w:rPr>
                <w:b/>
                <w:bCs/>
                <w:color w:val="FFFFFF"/>
                <w:sz w:val="19"/>
                <w:szCs w:val="19"/>
              </w:rPr>
              <w:t xml:space="preserve">2025</w:t>
            </w:r>
          </w:p>
        </w:tc>
        <w:tc>
          <w:tcPr>
            <w:tcW w:type="dxa" w:w="1450"/>
            <w:shd w:fill="4B2E83" w:val="clear"/>
            <w:tcMar>
              <w:top w:type="dxa" w:w="80"/>
              <w:left w:type="dxa" w:w="100"/>
              <w:bottom w:type="dxa" w:w="80"/>
              <w:right w:type="dxa" w:w="100"/>
            </w:tcMar>
          </w:tcPr>
          <w:p>
            <w:pPr>
              <w:jc w:val="center"/>
            </w:pPr>
            <w:r>
              <w:rPr>
                <w:b/>
                <w:bCs/>
                <w:color w:val="FFFFFF"/>
                <w:sz w:val="19"/>
                <w:szCs w:val="19"/>
              </w:rPr>
              <w:t xml:space="preserve">Tendance</w:t>
            </w:r>
          </w:p>
        </w:tc>
      </w:tr>
      <w:tr>
        <w:tc>
          <w:tcPr>
            <w:tcW w:type="dxa" w:w="3550"/>
            <w:tcMar>
              <w:top w:type="dxa" w:w="80"/>
              <w:left w:type="dxa" w:w="100"/>
              <w:bottom w:type="dxa" w:w="80"/>
              <w:right w:type="dxa" w:w="100"/>
            </w:tcMar>
          </w:tcPr>
          <w:p>
            <w:pPr>
              <w:jc w:val="left"/>
            </w:pPr>
            <w:r>
              <w:rPr>
                <w:b w:val="false"/>
                <w:bCs w:val="false"/>
                <w:color w:val="000000"/>
                <w:sz w:val="19"/>
                <w:szCs w:val="19"/>
              </w:rPr>
              <w:t xml:space="preserve">Total bilan (Mrds XOF)</w:t>
            </w:r>
          </w:p>
        </w:tc>
        <w:tc>
          <w:tcPr>
            <w:tcW w:type="dxa" w:w="1450"/>
            <w:tcMar>
              <w:top w:type="dxa" w:w="80"/>
              <w:left w:type="dxa" w:w="100"/>
              <w:bottom w:type="dxa" w:w="80"/>
              <w:right w:type="dxa" w:w="100"/>
            </w:tcMar>
          </w:tcPr>
          <w:p>
            <w:pPr>
              <w:jc w:val="center"/>
            </w:pPr>
            <w:r>
              <w:rPr>
                <w:b w:val="false"/>
                <w:bCs w:val="false"/>
                <w:color w:val="000000"/>
                <w:sz w:val="19"/>
                <w:szCs w:val="19"/>
              </w:rPr>
              <w:t xml:space="preserve">98,5</w:t>
            </w:r>
          </w:p>
        </w:tc>
        <w:tc>
          <w:tcPr>
            <w:tcW w:type="dxa" w:w="1450"/>
            <w:tcMar>
              <w:top w:type="dxa" w:w="80"/>
              <w:left w:type="dxa" w:w="100"/>
              <w:bottom w:type="dxa" w:w="80"/>
              <w:right w:type="dxa" w:w="100"/>
            </w:tcMar>
          </w:tcPr>
          <w:p>
            <w:pPr>
              <w:jc w:val="center"/>
            </w:pPr>
            <w:r>
              <w:rPr>
                <w:b w:val="false"/>
                <w:bCs w:val="false"/>
                <w:color w:val="000000"/>
                <w:sz w:val="19"/>
                <w:szCs w:val="19"/>
              </w:rPr>
              <w:t xml:space="preserve">104,6</w:t>
            </w:r>
          </w:p>
        </w:tc>
        <w:tc>
          <w:tcPr>
            <w:tcW w:type="dxa" w:w="1450"/>
            <w:tcMar>
              <w:top w:type="dxa" w:w="80"/>
              <w:left w:type="dxa" w:w="100"/>
              <w:bottom w:type="dxa" w:w="80"/>
              <w:right w:type="dxa" w:w="100"/>
            </w:tcMar>
          </w:tcPr>
          <w:p>
            <w:pPr>
              <w:jc w:val="center"/>
            </w:pPr>
            <w:r>
              <w:rPr>
                <w:b w:val="false"/>
                <w:bCs w:val="false"/>
                <w:color w:val="000000"/>
                <w:sz w:val="19"/>
                <w:szCs w:val="19"/>
              </w:rPr>
              <w:t xml:space="preserve">115,9</w:t>
            </w:r>
          </w:p>
        </w:tc>
        <w:tc>
          <w:tcPr>
            <w:tcW w:type="dxa" w:w="1450"/>
            <w:tcMar>
              <w:top w:type="dxa" w:w="80"/>
              <w:left w:type="dxa" w:w="100"/>
              <w:bottom w:type="dxa" w:w="80"/>
              <w:right w:type="dxa" w:w="100"/>
            </w:tcMar>
          </w:tcPr>
          <w:p>
            <w:pPr>
              <w:jc w:val="center"/>
            </w:pPr>
            <w:r>
              <w:rPr>
                <w:b w:val="false"/>
                <w:bCs w:val="false"/>
                <w:color w:val="000000"/>
                <w:sz w:val="19"/>
                <w:szCs w:val="19"/>
              </w:rPr>
              <w:t xml:space="preserve">+6% / +11%</w:t>
            </w:r>
          </w:p>
        </w:tc>
      </w:tr>
      <w:tr>
        <w:tc>
          <w:tcPr>
            <w:tcW w:type="dxa" w:w="3550"/>
            <w:tcMar>
              <w:top w:type="dxa" w:w="80"/>
              <w:left w:type="dxa" w:w="100"/>
              <w:bottom w:type="dxa" w:w="80"/>
              <w:right w:type="dxa" w:w="100"/>
            </w:tcMar>
          </w:tcPr>
          <w:p>
            <w:pPr>
              <w:jc w:val="left"/>
            </w:pPr>
            <w:r>
              <w:rPr>
                <w:b w:val="false"/>
                <w:bCs w:val="false"/>
                <w:color w:val="000000"/>
                <w:sz w:val="19"/>
                <w:szCs w:val="19"/>
              </w:rPr>
              <w:t xml:space="preserve">Portefeuille brut de crédit</w:t>
            </w:r>
          </w:p>
        </w:tc>
        <w:tc>
          <w:tcPr>
            <w:tcW w:type="dxa" w:w="1450"/>
            <w:tcMar>
              <w:top w:type="dxa" w:w="80"/>
              <w:left w:type="dxa" w:w="100"/>
              <w:bottom w:type="dxa" w:w="80"/>
              <w:right w:type="dxa" w:w="100"/>
            </w:tcMar>
          </w:tcPr>
          <w:p>
            <w:pPr>
              <w:jc w:val="center"/>
            </w:pPr>
            <w:r>
              <w:rPr>
                <w:b w:val="false"/>
                <w:bCs w:val="false"/>
                <w:color w:val="000000"/>
                <w:sz w:val="19"/>
                <w:szCs w:val="19"/>
              </w:rPr>
              <w:t xml:space="preserve">86,1</w:t>
            </w:r>
          </w:p>
        </w:tc>
        <w:tc>
          <w:tcPr>
            <w:tcW w:type="dxa" w:w="1450"/>
            <w:tcMar>
              <w:top w:type="dxa" w:w="80"/>
              <w:left w:type="dxa" w:w="100"/>
              <w:bottom w:type="dxa" w:w="80"/>
              <w:right w:type="dxa" w:w="100"/>
            </w:tcMar>
          </w:tcPr>
          <w:p>
            <w:pPr>
              <w:jc w:val="center"/>
            </w:pPr>
            <w:r>
              <w:rPr>
                <w:b w:val="false"/>
                <w:bCs w:val="false"/>
                <w:color w:val="000000"/>
                <w:sz w:val="19"/>
                <w:szCs w:val="19"/>
              </w:rPr>
              <w:t xml:space="preserve">90,8</w:t>
            </w:r>
          </w:p>
        </w:tc>
        <w:tc>
          <w:tcPr>
            <w:tcW w:type="dxa" w:w="1450"/>
            <w:tcMar>
              <w:top w:type="dxa" w:w="80"/>
              <w:left w:type="dxa" w:w="100"/>
              <w:bottom w:type="dxa" w:w="80"/>
              <w:right w:type="dxa" w:w="100"/>
            </w:tcMar>
          </w:tcPr>
          <w:p>
            <w:pPr>
              <w:jc w:val="center"/>
            </w:pPr>
            <w:r>
              <w:rPr>
                <w:b w:val="false"/>
                <w:bCs w:val="false"/>
                <w:color w:val="000000"/>
                <w:sz w:val="19"/>
                <w:szCs w:val="19"/>
              </w:rPr>
              <w:t xml:space="preserve">100,1</w:t>
            </w:r>
          </w:p>
        </w:tc>
        <w:tc>
          <w:tcPr>
            <w:tcW w:type="dxa" w:w="1450"/>
            <w:tcMar>
              <w:top w:type="dxa" w:w="80"/>
              <w:left w:type="dxa" w:w="100"/>
              <w:bottom w:type="dxa" w:w="80"/>
              <w:right w:type="dxa" w:w="100"/>
            </w:tcMar>
          </w:tcPr>
          <w:p>
            <w:pPr>
              <w:jc w:val="center"/>
            </w:pPr>
            <w:r>
              <w:rPr>
                <w:b w:val="false"/>
                <w:bCs w:val="false"/>
                <w:color w:val="000000"/>
                <w:sz w:val="19"/>
                <w:szCs w:val="19"/>
              </w:rPr>
              <w:t xml:space="preserve">+5% / +10%</w:t>
            </w:r>
          </w:p>
        </w:tc>
      </w:tr>
      <w:tr>
        <w:tc>
          <w:tcPr>
            <w:tcW w:type="dxa" w:w="3550"/>
            <w:tcMar>
              <w:top w:type="dxa" w:w="80"/>
              <w:left w:type="dxa" w:w="100"/>
              <w:bottom w:type="dxa" w:w="80"/>
              <w:right w:type="dxa" w:w="100"/>
            </w:tcMar>
          </w:tcPr>
          <w:p>
            <w:pPr>
              <w:jc w:val="left"/>
            </w:pPr>
            <w:r>
              <w:rPr>
                <w:b w:val="false"/>
                <w:bCs w:val="false"/>
                <w:color w:val="000000"/>
                <w:sz w:val="19"/>
                <w:szCs w:val="19"/>
              </w:rPr>
              <w:t xml:space="preserve">PNB</w:t>
            </w:r>
          </w:p>
        </w:tc>
        <w:tc>
          <w:tcPr>
            <w:tcW w:type="dxa" w:w="1450"/>
            <w:tcMar>
              <w:top w:type="dxa" w:w="80"/>
              <w:left w:type="dxa" w:w="100"/>
              <w:bottom w:type="dxa" w:w="80"/>
              <w:right w:type="dxa" w:w="100"/>
            </w:tcMar>
          </w:tcPr>
          <w:p>
            <w:pPr>
              <w:jc w:val="center"/>
            </w:pPr>
            <w:r>
              <w:rPr>
                <w:b w:val="false"/>
                <w:bCs w:val="false"/>
                <w:color w:val="000000"/>
                <w:sz w:val="19"/>
                <w:szCs w:val="19"/>
              </w:rPr>
              <w:t xml:space="preserve">14 389</w:t>
            </w:r>
          </w:p>
        </w:tc>
        <w:tc>
          <w:tcPr>
            <w:tcW w:type="dxa" w:w="1450"/>
            <w:tcMar>
              <w:top w:type="dxa" w:w="80"/>
              <w:left w:type="dxa" w:w="100"/>
              <w:bottom w:type="dxa" w:w="80"/>
              <w:right w:type="dxa" w:w="100"/>
            </w:tcMar>
          </w:tcPr>
          <w:p>
            <w:pPr>
              <w:jc w:val="center"/>
            </w:pPr>
            <w:r>
              <w:rPr>
                <w:b w:val="false"/>
                <w:bCs w:val="false"/>
                <w:color w:val="000000"/>
                <w:sz w:val="19"/>
                <w:szCs w:val="19"/>
              </w:rPr>
              <w:t xml:space="preserve">15 186</w:t>
            </w:r>
          </w:p>
        </w:tc>
        <w:tc>
          <w:tcPr>
            <w:tcW w:type="dxa" w:w="1450"/>
            <w:tcMar>
              <w:top w:type="dxa" w:w="80"/>
              <w:left w:type="dxa" w:w="100"/>
              <w:bottom w:type="dxa" w:w="80"/>
              <w:right w:type="dxa" w:w="100"/>
            </w:tcMar>
          </w:tcPr>
          <w:p>
            <w:pPr>
              <w:jc w:val="center"/>
            </w:pPr>
            <w:r>
              <w:rPr>
                <w:b w:val="false"/>
                <w:bCs w:val="false"/>
                <w:color w:val="000000"/>
                <w:sz w:val="19"/>
                <w:szCs w:val="19"/>
              </w:rPr>
              <w:t xml:space="preserve">16 822</w:t>
            </w:r>
          </w:p>
        </w:tc>
        <w:tc>
          <w:tcPr>
            <w:tcW w:type="dxa" w:w="1450"/>
            <w:tcMar>
              <w:top w:type="dxa" w:w="80"/>
              <w:left w:type="dxa" w:w="100"/>
              <w:bottom w:type="dxa" w:w="80"/>
              <w:right w:type="dxa" w:w="100"/>
            </w:tcMar>
          </w:tcPr>
          <w:p>
            <w:pPr>
              <w:jc w:val="center"/>
            </w:pPr>
            <w:r>
              <w:rPr>
                <w:b w:val="false"/>
                <w:bCs w:val="false"/>
                <w:color w:val="000000"/>
                <w:sz w:val="19"/>
                <w:szCs w:val="19"/>
              </w:rPr>
              <w:t xml:space="preserve">+6% / +11%</w:t>
            </w:r>
          </w:p>
        </w:tc>
      </w:tr>
      <w:tr>
        <w:tc>
          <w:tcPr>
            <w:tcW w:type="dxa" w:w="3550"/>
            <w:tcMar>
              <w:top w:type="dxa" w:w="80"/>
              <w:left w:type="dxa" w:w="100"/>
              <w:bottom w:type="dxa" w:w="80"/>
              <w:right w:type="dxa" w:w="100"/>
            </w:tcMar>
          </w:tcPr>
          <w:p>
            <w:pPr>
              <w:jc w:val="left"/>
            </w:pPr>
            <w:r>
              <w:rPr>
                <w:b w:val="false"/>
                <w:bCs w:val="false"/>
                <w:color w:val="000000"/>
                <w:sz w:val="19"/>
                <w:szCs w:val="19"/>
              </w:rPr>
              <w:t xml:space="preserve">Résultat net</w:t>
            </w:r>
          </w:p>
        </w:tc>
        <w:tc>
          <w:tcPr>
            <w:tcW w:type="dxa" w:w="1450"/>
            <w:tcMar>
              <w:top w:type="dxa" w:w="80"/>
              <w:left w:type="dxa" w:w="100"/>
              <w:bottom w:type="dxa" w:w="80"/>
              <w:right w:type="dxa" w:w="100"/>
            </w:tcMar>
          </w:tcPr>
          <w:p>
            <w:pPr>
              <w:jc w:val="center"/>
            </w:pPr>
            <w:r>
              <w:rPr>
                <w:b w:val="false"/>
                <w:bCs w:val="false"/>
                <w:color w:val="000000"/>
                <w:sz w:val="19"/>
                <w:szCs w:val="19"/>
              </w:rPr>
              <w:t xml:space="preserve">2 341</w:t>
            </w:r>
          </w:p>
        </w:tc>
        <w:tc>
          <w:tcPr>
            <w:tcW w:type="dxa" w:w="1450"/>
            <w:tcMar>
              <w:top w:type="dxa" w:w="80"/>
              <w:left w:type="dxa" w:w="100"/>
              <w:bottom w:type="dxa" w:w="80"/>
              <w:right w:type="dxa" w:w="100"/>
            </w:tcMar>
          </w:tcPr>
          <w:p>
            <w:pPr>
              <w:jc w:val="center"/>
            </w:pPr>
            <w:r>
              <w:rPr>
                <w:b w:val="false"/>
                <w:bCs w:val="false"/>
                <w:color w:val="000000"/>
                <w:sz w:val="19"/>
                <w:szCs w:val="19"/>
              </w:rPr>
              <w:t xml:space="preserve">1 657</w:t>
            </w:r>
          </w:p>
        </w:tc>
        <w:tc>
          <w:tcPr>
            <w:tcW w:type="dxa" w:w="1450"/>
            <w:tcMar>
              <w:top w:type="dxa" w:w="80"/>
              <w:left w:type="dxa" w:w="100"/>
              <w:bottom w:type="dxa" w:w="80"/>
              <w:right w:type="dxa" w:w="100"/>
            </w:tcMar>
          </w:tcPr>
          <w:p>
            <w:pPr>
              <w:jc w:val="center"/>
            </w:pPr>
            <w:r>
              <w:rPr>
                <w:b w:val="false"/>
                <w:bCs w:val="false"/>
                <w:color w:val="000000"/>
                <w:sz w:val="19"/>
                <w:szCs w:val="19"/>
              </w:rPr>
              <w:t xml:space="preserve">1 570</w:t>
            </w:r>
          </w:p>
        </w:tc>
        <w:tc>
          <w:tcPr>
            <w:tcW w:type="dxa" w:w="1450"/>
            <w:tcMar>
              <w:top w:type="dxa" w:w="80"/>
              <w:left w:type="dxa" w:w="100"/>
              <w:bottom w:type="dxa" w:w="80"/>
              <w:right w:type="dxa" w:w="100"/>
            </w:tcMar>
          </w:tcPr>
          <w:p>
            <w:pPr>
              <w:jc w:val="center"/>
            </w:pPr>
            <w:r>
              <w:rPr>
                <w:b w:val="false"/>
                <w:bCs w:val="false"/>
                <w:color w:val="000000"/>
                <w:sz w:val="19"/>
                <w:szCs w:val="19"/>
              </w:rPr>
              <w:t xml:space="preserve">-29% / -5%</w:t>
            </w:r>
          </w:p>
        </w:tc>
      </w:tr>
      <w:tr>
        <w:tc>
          <w:tcPr>
            <w:tcW w:type="dxa" w:w="3550"/>
            <w:tcMar>
              <w:top w:type="dxa" w:w="80"/>
              <w:left w:type="dxa" w:w="100"/>
              <w:bottom w:type="dxa" w:w="80"/>
              <w:right w:type="dxa" w:w="100"/>
            </w:tcMar>
          </w:tcPr>
          <w:p>
            <w:pPr>
              <w:jc w:val="left"/>
            </w:pPr>
            <w:r>
              <w:rPr>
                <w:b w:val="false"/>
                <w:bCs w:val="false"/>
                <w:color w:val="000000"/>
                <w:sz w:val="19"/>
                <w:szCs w:val="19"/>
              </w:rPr>
              <w:t xml:space="preserve">Coût du risque / portefeuille brut</w:t>
            </w:r>
          </w:p>
        </w:tc>
        <w:tc>
          <w:tcPr>
            <w:tcW w:type="dxa" w:w="1450"/>
            <w:tcMar>
              <w:top w:type="dxa" w:w="80"/>
              <w:left w:type="dxa" w:w="100"/>
              <w:bottom w:type="dxa" w:w="80"/>
              <w:right w:type="dxa" w:w="100"/>
            </w:tcMar>
          </w:tcPr>
          <w:p>
            <w:pPr>
              <w:jc w:val="center"/>
            </w:pPr>
            <w:r>
              <w:rPr>
                <w:b w:val="false"/>
                <w:bCs w:val="false"/>
                <w:color w:val="000000"/>
                <w:sz w:val="19"/>
                <w:szCs w:val="19"/>
              </w:rPr>
              <w:t xml:space="preserve">2,58%</w:t>
            </w:r>
          </w:p>
        </w:tc>
        <w:tc>
          <w:tcPr>
            <w:tcW w:type="dxa" w:w="1450"/>
            <w:tcMar>
              <w:top w:type="dxa" w:w="80"/>
              <w:left w:type="dxa" w:w="100"/>
              <w:bottom w:type="dxa" w:w="80"/>
              <w:right w:type="dxa" w:w="100"/>
            </w:tcMar>
          </w:tcPr>
          <w:p>
            <w:pPr>
              <w:jc w:val="center"/>
            </w:pPr>
            <w:r>
              <w:rPr>
                <w:b w:val="false"/>
                <w:bCs w:val="false"/>
                <w:color w:val="000000"/>
                <w:sz w:val="19"/>
                <w:szCs w:val="19"/>
              </w:rPr>
              <w:t xml:space="preserve">3,05%</w:t>
            </w:r>
          </w:p>
        </w:tc>
        <w:tc>
          <w:tcPr>
            <w:tcW w:type="dxa" w:w="1450"/>
            <w:tcMar>
              <w:top w:type="dxa" w:w="80"/>
              <w:left w:type="dxa" w:w="100"/>
              <w:bottom w:type="dxa" w:w="80"/>
              <w:right w:type="dxa" w:w="100"/>
            </w:tcMar>
          </w:tcPr>
          <w:p>
            <w:pPr>
              <w:jc w:val="center"/>
            </w:pPr>
            <w:r>
              <w:rPr>
                <w:b w:val="false"/>
                <w:bCs w:val="false"/>
                <w:color w:val="000000"/>
                <w:sz w:val="19"/>
                <w:szCs w:val="19"/>
              </w:rPr>
              <w:t xml:space="preserve">3,77%</w:t>
            </w:r>
          </w:p>
        </w:tc>
        <w:tc>
          <w:tcPr>
            <w:tcW w:type="dxa" w:w="1450"/>
            <w:tcMar>
              <w:top w:type="dxa" w:w="80"/>
              <w:left w:type="dxa" w:w="100"/>
              <w:bottom w:type="dxa" w:w="80"/>
              <w:right w:type="dxa" w:w="100"/>
            </w:tcMar>
          </w:tcPr>
          <w:p>
            <w:pPr>
              <w:jc w:val="center"/>
            </w:pPr>
            <w:r>
              <w:rPr>
                <w:b w:val="false"/>
                <w:bCs w:val="false"/>
                <w:color w:val="000000"/>
                <w:sz w:val="19"/>
                <w:szCs w:val="19"/>
              </w:rPr>
              <w:t xml:space="preserve">Hausse continue</w:t>
            </w:r>
          </w:p>
        </w:tc>
      </w:tr>
      <w:tr>
        <w:tc>
          <w:tcPr>
            <w:tcW w:type="dxa" w:w="3550"/>
            <w:tcMar>
              <w:top w:type="dxa" w:w="80"/>
              <w:left w:type="dxa" w:w="100"/>
              <w:bottom w:type="dxa" w:w="80"/>
              <w:right w:type="dxa" w:w="100"/>
            </w:tcMar>
          </w:tcPr>
          <w:p>
            <w:pPr>
              <w:jc w:val="left"/>
            </w:pPr>
            <w:r>
              <w:rPr>
                <w:b w:val="false"/>
                <w:bCs w:val="false"/>
                <w:color w:val="000000"/>
                <w:sz w:val="19"/>
                <w:szCs w:val="19"/>
              </w:rPr>
              <w:t xml:space="preserve">ROA</w:t>
            </w:r>
          </w:p>
        </w:tc>
        <w:tc>
          <w:tcPr>
            <w:tcW w:type="dxa" w:w="1450"/>
            <w:tcMar>
              <w:top w:type="dxa" w:w="80"/>
              <w:left w:type="dxa" w:w="100"/>
              <w:bottom w:type="dxa" w:w="80"/>
              <w:right w:type="dxa" w:w="100"/>
            </w:tcMar>
          </w:tcPr>
          <w:p>
            <w:pPr>
              <w:jc w:val="center"/>
            </w:pPr>
            <w:r>
              <w:rPr>
                <w:b w:val="false"/>
                <w:bCs w:val="false"/>
                <w:color w:val="000000"/>
                <w:sz w:val="19"/>
                <w:szCs w:val="19"/>
              </w:rPr>
              <w:t xml:space="preserve">13%</w:t>
            </w:r>
          </w:p>
        </w:tc>
        <w:tc>
          <w:tcPr>
            <w:tcW w:type="dxa" w:w="1450"/>
            <w:tcMar>
              <w:top w:type="dxa" w:w="80"/>
              <w:left w:type="dxa" w:w="100"/>
              <w:bottom w:type="dxa" w:w="80"/>
              <w:right w:type="dxa" w:w="100"/>
            </w:tcMar>
          </w:tcPr>
          <w:p>
            <w:pPr>
              <w:jc w:val="center"/>
            </w:pPr>
            <w:r>
              <w:rPr>
                <w:b w:val="false"/>
                <w:bCs w:val="false"/>
                <w:color w:val="000000"/>
                <w:sz w:val="19"/>
                <w:szCs w:val="19"/>
              </w:rPr>
              <w:t xml:space="preserve">9%</w:t>
            </w:r>
          </w:p>
        </w:tc>
        <w:tc>
          <w:tcPr>
            <w:tcW w:type="dxa" w:w="1450"/>
            <w:tcMar>
              <w:top w:type="dxa" w:w="80"/>
              <w:left w:type="dxa" w:w="100"/>
              <w:bottom w:type="dxa" w:w="80"/>
              <w:right w:type="dxa" w:w="100"/>
            </w:tcMar>
          </w:tcPr>
          <w:p>
            <w:pPr>
              <w:jc w:val="center"/>
            </w:pPr>
            <w:r>
              <w:rPr>
                <w:b w:val="false"/>
                <w:bCs w:val="false"/>
                <w:color w:val="000000"/>
                <w:sz w:val="19"/>
                <w:szCs w:val="19"/>
              </w:rPr>
              <w:t xml:space="preserve">8%</w:t>
            </w:r>
          </w:p>
        </w:tc>
        <w:tc>
          <w:tcPr>
            <w:tcW w:type="dxa" w:w="1450"/>
            <w:tcMar>
              <w:top w:type="dxa" w:w="80"/>
              <w:left w:type="dxa" w:w="100"/>
              <w:bottom w:type="dxa" w:w="80"/>
              <w:right w:type="dxa" w:w="100"/>
            </w:tcMar>
          </w:tcPr>
          <w:p>
            <w:pPr>
              <w:jc w:val="center"/>
            </w:pPr>
            <w:r>
              <w:rPr>
                <w:b w:val="false"/>
                <w:bCs w:val="false"/>
                <w:color w:val="000000"/>
                <w:sz w:val="19"/>
                <w:szCs w:val="19"/>
              </w:rPr>
              <w:t xml:space="preserve">Baisse continue</w:t>
            </w:r>
          </w:p>
        </w:tc>
      </w:tr>
      <w:tr>
        <w:tc>
          <w:tcPr>
            <w:tcW w:type="dxa" w:w="3550"/>
            <w:tcMar>
              <w:top w:type="dxa" w:w="80"/>
              <w:left w:type="dxa" w:w="100"/>
              <w:bottom w:type="dxa" w:w="80"/>
              <w:right w:type="dxa" w:w="100"/>
            </w:tcMar>
          </w:tcPr>
          <w:p>
            <w:pPr>
              <w:jc w:val="left"/>
            </w:pPr>
            <w:r>
              <w:rPr>
                <w:b w:val="false"/>
                <w:bCs w:val="false"/>
                <w:color w:val="000000"/>
                <w:sz w:val="19"/>
                <w:szCs w:val="19"/>
              </w:rPr>
              <w:t xml:space="preserve">Ratio de capitalisation (min. 15%)</w:t>
            </w:r>
          </w:p>
        </w:tc>
        <w:tc>
          <w:tcPr>
            <w:tcW w:type="dxa" w:w="1450"/>
            <w:tcMar>
              <w:top w:type="dxa" w:w="80"/>
              <w:left w:type="dxa" w:w="100"/>
              <w:bottom w:type="dxa" w:w="80"/>
              <w:right w:type="dxa" w:w="100"/>
            </w:tcMar>
          </w:tcPr>
          <w:p>
            <w:pPr>
              <w:jc w:val="center"/>
            </w:pPr>
            <w:r>
              <w:rPr>
                <w:b w:val="false"/>
                <w:bCs w:val="false"/>
                <w:color w:val="000000"/>
                <w:sz w:val="19"/>
                <w:szCs w:val="19"/>
              </w:rPr>
              <w:t xml:space="preserve">16,7%</w:t>
            </w:r>
          </w:p>
        </w:tc>
        <w:tc>
          <w:tcPr>
            <w:tcW w:type="dxa" w:w="1450"/>
            <w:tcMar>
              <w:top w:type="dxa" w:w="80"/>
              <w:left w:type="dxa" w:w="100"/>
              <w:bottom w:type="dxa" w:w="80"/>
              <w:right w:type="dxa" w:w="100"/>
            </w:tcMar>
          </w:tcPr>
          <w:p>
            <w:pPr>
              <w:jc w:val="center"/>
            </w:pPr>
            <w:r>
              <w:rPr>
                <w:b w:val="false"/>
                <w:bCs w:val="false"/>
                <w:color w:val="000000"/>
                <w:sz w:val="19"/>
                <w:szCs w:val="19"/>
              </w:rPr>
              <w:t xml:space="preserve">16,3%</w:t>
            </w:r>
          </w:p>
        </w:tc>
        <w:tc>
          <w:tcPr>
            <w:tcW w:type="dxa" w:w="1450"/>
            <w:tcMar>
              <w:top w:type="dxa" w:w="80"/>
              <w:left w:type="dxa" w:w="100"/>
              <w:bottom w:type="dxa" w:w="80"/>
              <w:right w:type="dxa" w:w="100"/>
            </w:tcMar>
          </w:tcPr>
          <w:p>
            <w:pPr>
              <w:jc w:val="center"/>
            </w:pPr>
            <w:r>
              <w:rPr>
                <w:b w:val="false"/>
                <w:bCs w:val="false"/>
                <w:color w:val="000000"/>
                <w:sz w:val="19"/>
                <w:szCs w:val="19"/>
              </w:rPr>
              <w:t xml:space="preserve">16,9%</w:t>
            </w:r>
          </w:p>
        </w:tc>
        <w:tc>
          <w:tcPr>
            <w:tcW w:type="dxa" w:w="1450"/>
            <w:tcMar>
              <w:top w:type="dxa" w:w="80"/>
              <w:left w:type="dxa" w:w="100"/>
              <w:bottom w:type="dxa" w:w="80"/>
              <w:right w:type="dxa" w:w="100"/>
            </w:tcMar>
          </w:tcPr>
          <w:p>
            <w:pPr>
              <w:jc w:val="center"/>
            </w:pPr>
            <w:r>
              <w:rPr>
                <w:b w:val="false"/>
                <w:bCs w:val="false"/>
                <w:color w:val="000000"/>
                <w:sz w:val="19"/>
                <w:szCs w:val="19"/>
              </w:rPr>
              <w:t xml:space="preserve">Conforme</w:t>
            </w:r>
          </w:p>
        </w:tc>
      </w:tr>
    </w:tbl>
    <w:p>
      <w:pPr>
        <w:pStyle w:val="Heading1"/>
        <w:pBdr>
          <w:bottom w:val="single" w:color="4B2E83" w:sz="6" w:space="4"/>
        </w:pBdr>
        <w:spacing w:after="150" w:before="300"/>
      </w:pPr>
      <w:r>
        <w:rPr>
          <w:b/>
          <w:bCs/>
          <w:color w:val="4B2E83"/>
          <w:sz w:val="28"/>
          <w:szCs w:val="28"/>
        </w:rPr>
        <w:t xml:space="preserve">III. Cartographie des risques</w:t>
      </w:r>
    </w:p>
    <w:p>
      <w:pPr>
        <w:pStyle w:val="Heading2"/>
        <w:spacing w:after="100" w:before="240"/>
      </w:pPr>
      <w:r>
        <w:rPr>
          <w:b/>
          <w:bCs/>
          <w:color w:val="4B2E83"/>
          <w:sz w:val="24"/>
          <w:szCs w:val="24"/>
        </w:rPr>
        <w:t xml:space="preserve">1. Risque de crédit — risque majeur du dossier</w:t>
      </w:r>
    </w:p>
    <w:p>
      <w:pPr>
        <w:spacing w:after="160" w:line="276"/>
        <w:jc w:val="both"/>
      </w:pPr>
      <w:r>
        <w:rPr>
          <w:sz w:val="21"/>
          <w:szCs w:val="21"/>
        </w:rPr>
        <w:t xml:space="preserve">Le coût du risque rapporté au portefeuille brut augmente de façon continue sur trois exercices (2,58%→3,05%→3,77%). En situation provisoire à mai 2025, les trois seuils prudentiels de qualité de portefeuille sont simultanément dépassés, une tendance confirmée sur plusieurs arrêtés et non un pic isolé, traduisant un risque structurel de détérioration du portefeuille.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900"/>
        <w:gridCol w:w="2150"/>
        <w:gridCol w:w="2150"/>
        <w:gridCol w:w="1150"/>
      </w:tblGrid>
      <w:tr>
        <w:tc>
          <w:tcPr>
            <w:tcW w:type="dxa" w:w="3900"/>
            <w:shd w:fill="4B2E83" w:val="clear"/>
            <w:tcMar>
              <w:top w:type="dxa" w:w="80"/>
              <w:left w:type="dxa" w:w="100"/>
              <w:bottom w:type="dxa" w:w="80"/>
              <w:right w:type="dxa" w:w="100"/>
            </w:tcMar>
          </w:tcPr>
          <w:p>
            <w:pPr>
              <w:jc w:val="left"/>
            </w:pPr>
            <w:r>
              <w:rPr>
                <w:b/>
                <w:bCs/>
                <w:color w:val="FFFFFF"/>
                <w:sz w:val="19"/>
                <w:szCs w:val="19"/>
              </w:rPr>
              <w:t xml:space="preserve">Indicateur (mai 2025)</w:t>
            </w:r>
          </w:p>
        </w:tc>
        <w:tc>
          <w:tcPr>
            <w:tcW w:type="dxa" w:w="2150"/>
            <w:shd w:fill="4B2E83" w:val="clear"/>
            <w:tcMar>
              <w:top w:type="dxa" w:w="80"/>
              <w:left w:type="dxa" w:w="100"/>
              <w:bottom w:type="dxa" w:w="80"/>
              <w:right w:type="dxa" w:w="100"/>
            </w:tcMar>
          </w:tcPr>
          <w:p>
            <w:pPr>
              <w:jc w:val="center"/>
            </w:pPr>
            <w:r>
              <w:rPr>
                <w:b/>
                <w:bCs/>
                <w:color w:val="FFFFFF"/>
                <w:sz w:val="19"/>
                <w:szCs w:val="19"/>
              </w:rPr>
              <w:t xml:space="preserve">Seuil BCEAO</w:t>
            </w:r>
          </w:p>
        </w:tc>
        <w:tc>
          <w:tcPr>
            <w:tcW w:type="dxa" w:w="2150"/>
            <w:shd w:fill="4B2E83" w:val="clear"/>
            <w:tcMar>
              <w:top w:type="dxa" w:w="80"/>
              <w:left w:type="dxa" w:w="100"/>
              <w:bottom w:type="dxa" w:w="80"/>
              <w:right w:type="dxa" w:w="100"/>
            </w:tcMar>
          </w:tcPr>
          <w:p>
            <w:pPr>
              <w:jc w:val="center"/>
            </w:pPr>
            <w:r>
              <w:rPr>
                <w:b/>
                <w:bCs/>
                <w:color w:val="FFFFFF"/>
                <w:sz w:val="19"/>
                <w:szCs w:val="19"/>
              </w:rPr>
              <w:t xml:space="preserve">Taux constaté</w:t>
            </w:r>
          </w:p>
        </w:tc>
        <w:tc>
          <w:tcPr>
            <w:tcW w:type="dxa" w:w="1150"/>
            <w:shd w:fill="4B2E83" w:val="clear"/>
            <w:tcMar>
              <w:top w:type="dxa" w:w="80"/>
              <w:left w:type="dxa" w:w="100"/>
              <w:bottom w:type="dxa" w:w="80"/>
              <w:right w:type="dxa" w:w="100"/>
            </w:tcMar>
          </w:tcPr>
          <w:p>
            <w:pPr>
              <w:jc w:val="center"/>
            </w:pPr>
            <w:r>
              <w:rPr>
                <w:b/>
                <w:bCs/>
                <w:color w:val="FFFFFF"/>
                <w:sz w:val="19"/>
                <w:szCs w:val="19"/>
              </w:rPr>
              <w:t xml:space="preserve">Statut</w:t>
            </w:r>
          </w:p>
        </w:tc>
      </w:tr>
      <w:tr>
        <w:tc>
          <w:tcPr>
            <w:tcW w:type="dxa" w:w="3900"/>
            <w:tcMar>
              <w:top w:type="dxa" w:w="80"/>
              <w:left w:type="dxa" w:w="100"/>
              <w:bottom w:type="dxa" w:w="80"/>
              <w:right w:type="dxa" w:w="100"/>
            </w:tcMar>
          </w:tcPr>
          <w:p>
            <w:pPr>
              <w:jc w:val="left"/>
            </w:pPr>
            <w:r>
              <w:rPr>
                <w:b w:val="false"/>
                <w:bCs w:val="false"/>
                <w:color w:val="000000"/>
                <w:sz w:val="19"/>
                <w:szCs w:val="19"/>
              </w:rPr>
              <w:t xml:space="preserve">PAR30</w:t>
            </w:r>
          </w:p>
        </w:tc>
        <w:tc>
          <w:tcPr>
            <w:tcW w:type="dxa" w:w="2150"/>
            <w:tcMar>
              <w:top w:type="dxa" w:w="80"/>
              <w:left w:type="dxa" w:w="100"/>
              <w:bottom w:type="dxa" w:w="80"/>
              <w:right w:type="dxa" w:w="100"/>
            </w:tcMar>
          </w:tcPr>
          <w:p>
            <w:pPr>
              <w:jc w:val="center"/>
            </w:pPr>
            <w:r>
              <w:rPr>
                <w:b w:val="false"/>
                <w:bCs w:val="false"/>
                <w:color w:val="000000"/>
                <w:sz w:val="19"/>
                <w:szCs w:val="19"/>
              </w:rPr>
              <w:t xml:space="preserve">Max. 5%</w:t>
            </w:r>
          </w:p>
        </w:tc>
        <w:tc>
          <w:tcPr>
            <w:tcW w:type="dxa" w:w="2150"/>
            <w:tcMar>
              <w:top w:type="dxa" w:w="80"/>
              <w:left w:type="dxa" w:w="100"/>
              <w:bottom w:type="dxa" w:w="80"/>
              <w:right w:type="dxa" w:w="100"/>
            </w:tcMar>
          </w:tcPr>
          <w:p>
            <w:pPr>
              <w:jc w:val="center"/>
            </w:pPr>
            <w:r>
              <w:rPr>
                <w:b w:val="false"/>
                <w:bCs w:val="false"/>
                <w:color w:val="000000"/>
                <w:sz w:val="19"/>
                <w:szCs w:val="19"/>
              </w:rPr>
              <w:t xml:space="preserve">5,40%</w:t>
            </w:r>
          </w:p>
        </w:tc>
        <w:tc>
          <w:tcPr>
            <w:tcW w:type="dxa" w:w="1150"/>
            <w:tcMar>
              <w:top w:type="dxa" w:w="80"/>
              <w:left w:type="dxa" w:w="100"/>
              <w:bottom w:type="dxa" w:w="80"/>
              <w:right w:type="dxa" w:w="100"/>
            </w:tcMar>
          </w:tcPr>
          <w:p>
            <w:pPr>
              <w:jc w:val="center"/>
            </w:pPr>
            <w:r>
              <w:rPr>
                <w:b w:val="false"/>
                <w:bCs w:val="false"/>
                <w:color w:val="000000"/>
                <w:sz w:val="19"/>
                <w:szCs w:val="19"/>
              </w:rPr>
              <w:t xml:space="preserve">Dépassé</w:t>
            </w:r>
          </w:p>
        </w:tc>
      </w:tr>
      <w:tr>
        <w:tc>
          <w:tcPr>
            <w:tcW w:type="dxa" w:w="3900"/>
            <w:tcMar>
              <w:top w:type="dxa" w:w="80"/>
              <w:left w:type="dxa" w:w="100"/>
              <w:bottom w:type="dxa" w:w="80"/>
              <w:right w:type="dxa" w:w="100"/>
            </w:tcMar>
          </w:tcPr>
          <w:p>
            <w:pPr>
              <w:jc w:val="left"/>
            </w:pPr>
            <w:r>
              <w:rPr>
                <w:b w:val="false"/>
                <w:bCs w:val="false"/>
                <w:color w:val="000000"/>
                <w:sz w:val="19"/>
                <w:szCs w:val="19"/>
              </w:rPr>
              <w:t xml:space="preserve">PAR90</w:t>
            </w:r>
          </w:p>
        </w:tc>
        <w:tc>
          <w:tcPr>
            <w:tcW w:type="dxa" w:w="2150"/>
            <w:tcMar>
              <w:top w:type="dxa" w:w="80"/>
              <w:left w:type="dxa" w:w="100"/>
              <w:bottom w:type="dxa" w:w="80"/>
              <w:right w:type="dxa" w:w="100"/>
            </w:tcMar>
          </w:tcPr>
          <w:p>
            <w:pPr>
              <w:jc w:val="center"/>
            </w:pPr>
            <w:r>
              <w:rPr>
                <w:b w:val="false"/>
                <w:bCs w:val="false"/>
                <w:color w:val="000000"/>
                <w:sz w:val="19"/>
                <w:szCs w:val="19"/>
              </w:rPr>
              <w:t xml:space="preserve">Max. 3%</w:t>
            </w:r>
          </w:p>
        </w:tc>
        <w:tc>
          <w:tcPr>
            <w:tcW w:type="dxa" w:w="2150"/>
            <w:tcMar>
              <w:top w:type="dxa" w:w="80"/>
              <w:left w:type="dxa" w:w="100"/>
              <w:bottom w:type="dxa" w:w="80"/>
              <w:right w:type="dxa" w:w="100"/>
            </w:tcMar>
          </w:tcPr>
          <w:p>
            <w:pPr>
              <w:jc w:val="center"/>
            </w:pPr>
            <w:r>
              <w:rPr>
                <w:b w:val="false"/>
                <w:bCs w:val="false"/>
                <w:color w:val="000000"/>
                <w:sz w:val="19"/>
                <w:szCs w:val="19"/>
              </w:rPr>
              <w:t xml:space="preserve">3,37%</w:t>
            </w:r>
          </w:p>
        </w:tc>
        <w:tc>
          <w:tcPr>
            <w:tcW w:type="dxa" w:w="1150"/>
            <w:tcMar>
              <w:top w:type="dxa" w:w="80"/>
              <w:left w:type="dxa" w:w="100"/>
              <w:bottom w:type="dxa" w:w="80"/>
              <w:right w:type="dxa" w:w="100"/>
            </w:tcMar>
          </w:tcPr>
          <w:p>
            <w:pPr>
              <w:jc w:val="center"/>
            </w:pPr>
            <w:r>
              <w:rPr>
                <w:b w:val="false"/>
                <w:bCs w:val="false"/>
                <w:color w:val="000000"/>
                <w:sz w:val="19"/>
                <w:szCs w:val="19"/>
              </w:rPr>
              <w:t xml:space="preserve">Dépassé</w:t>
            </w:r>
          </w:p>
        </w:tc>
      </w:tr>
      <w:tr>
        <w:tc>
          <w:tcPr>
            <w:tcW w:type="dxa" w:w="3900"/>
            <w:tcMar>
              <w:top w:type="dxa" w:w="80"/>
              <w:left w:type="dxa" w:w="100"/>
              <w:bottom w:type="dxa" w:w="80"/>
              <w:right w:type="dxa" w:w="100"/>
            </w:tcMar>
          </w:tcPr>
          <w:p>
            <w:pPr>
              <w:jc w:val="left"/>
            </w:pPr>
            <w:r>
              <w:rPr>
                <w:b w:val="false"/>
                <w:bCs w:val="false"/>
                <w:color w:val="000000"/>
                <w:sz w:val="19"/>
                <w:szCs w:val="19"/>
              </w:rPr>
              <w:t xml:space="preserve">PAR180</w:t>
            </w:r>
          </w:p>
        </w:tc>
        <w:tc>
          <w:tcPr>
            <w:tcW w:type="dxa" w:w="2150"/>
            <w:tcMar>
              <w:top w:type="dxa" w:w="80"/>
              <w:left w:type="dxa" w:w="100"/>
              <w:bottom w:type="dxa" w:w="80"/>
              <w:right w:type="dxa" w:w="100"/>
            </w:tcMar>
          </w:tcPr>
          <w:p>
            <w:pPr>
              <w:jc w:val="center"/>
            </w:pPr>
            <w:r>
              <w:rPr>
                <w:b w:val="false"/>
                <w:bCs w:val="false"/>
                <w:color w:val="000000"/>
                <w:sz w:val="19"/>
                <w:szCs w:val="19"/>
              </w:rPr>
              <w:t xml:space="preserve">Max. 2%</w:t>
            </w:r>
          </w:p>
        </w:tc>
        <w:tc>
          <w:tcPr>
            <w:tcW w:type="dxa" w:w="2150"/>
            <w:tcMar>
              <w:top w:type="dxa" w:w="80"/>
              <w:left w:type="dxa" w:w="100"/>
              <w:bottom w:type="dxa" w:w="80"/>
              <w:right w:type="dxa" w:w="100"/>
            </w:tcMar>
          </w:tcPr>
          <w:p>
            <w:pPr>
              <w:jc w:val="center"/>
            </w:pPr>
            <w:r>
              <w:rPr>
                <w:b w:val="false"/>
                <w:bCs w:val="false"/>
                <w:color w:val="000000"/>
                <w:sz w:val="19"/>
                <w:szCs w:val="19"/>
              </w:rPr>
              <w:t xml:space="preserve">2,60%</w:t>
            </w:r>
          </w:p>
        </w:tc>
        <w:tc>
          <w:tcPr>
            <w:tcW w:type="dxa" w:w="1150"/>
            <w:tcMar>
              <w:top w:type="dxa" w:w="80"/>
              <w:left w:type="dxa" w:w="100"/>
              <w:bottom w:type="dxa" w:w="80"/>
              <w:right w:type="dxa" w:w="100"/>
            </w:tcMar>
          </w:tcPr>
          <w:p>
            <w:pPr>
              <w:jc w:val="center"/>
            </w:pPr>
            <w:r>
              <w:rPr>
                <w:b w:val="false"/>
                <w:bCs w:val="false"/>
                <w:color w:val="000000"/>
                <w:sz w:val="19"/>
                <w:szCs w:val="19"/>
              </w:rPr>
              <w:t xml:space="preserve">Dépassé</w:t>
            </w:r>
          </w:p>
        </w:tc>
      </w:tr>
    </w:tbl>
    <w:p>
      <w:pPr>
        <w:spacing w:after="160" w:before="200"/>
        <w:jc w:val="both"/>
      </w:pPr>
      <w:r>
        <w:rPr>
          <w:sz w:val="21"/>
          <w:szCs w:val="21"/>
        </w:rPr>
        <w:t xml:space="preserve">Le ticket moyen de prêt, autour de 93 Mrds pour environ 14 500 emprunteurs, suggère une concentration sur des montants plus élevés que le cœur de cible habituel de la microfinance, ce qui peut amplifier l'impact d'un nombre limité de défauts. </w:t>
      </w:r>
      <w:r>
        <w:rPr>
          <w:b/>
          <w:bCs/>
          <w:sz w:val="21"/>
          <w:szCs w:val="21"/>
        </w:rPr>
        <w:t xml:space="preserve">Le taux de couverture des risques par les provisions n'apparaît dans aucun des documents transmis, ce qui constitue une information à demander impérativement avant de finaliser l'avis</w:t>
      </w:r>
      <w:r>
        <w:rPr>
          <w:sz w:val="21"/>
          <w:szCs w:val="21"/>
        </w:rPr>
        <w:t xml:space="preserve">, un PAR élevé mal provisionné pouvant considérablement amplifier le risque de perte finale.</w:t>
      </w:r>
    </w:p>
    <w:p>
      <w:pPr>
        <w:pStyle w:val="Heading2"/>
        <w:spacing w:after="100" w:before="240"/>
      </w:pPr>
      <w:r>
        <w:rPr>
          <w:b/>
          <w:bCs/>
          <w:color w:val="4B2E83"/>
          <w:sz w:val="24"/>
          <w:szCs w:val="24"/>
        </w:rPr>
        <w:t xml:space="preserve">2. Risque de transformation / liquidité</w:t>
      </w:r>
    </w:p>
    <w:p>
      <w:pPr>
        <w:spacing w:after="160" w:line="276"/>
        <w:jc w:val="both"/>
      </w:pPr>
      <w:r>
        <w:rPr>
          <w:sz w:val="21"/>
          <w:szCs w:val="21"/>
        </w:rPr>
        <w:t xml:space="preserve">Les dépôts à vue et à moins d'un an (15% à 17% du passif, en progression) financent un portefeuille majoritairement à moyen terme. La couverture des emplois à moyen et long terme par des ressources stables recule sur la période (139%→134%→129%), restant certes au-dessus du minimum réglementaire de 100%, mais avec une marge de sécurité qui se réduit progressivement.</w:t>
      </w:r>
    </w:p>
    <w:p>
      <w:pPr>
        <w:pStyle w:val="Heading2"/>
        <w:spacing w:after="100" w:before="240"/>
      </w:pPr>
      <w:r>
        <w:rPr>
          <w:b/>
          <w:bCs/>
          <w:color w:val="4B2E83"/>
          <w:sz w:val="24"/>
          <w:szCs w:val="24"/>
        </w:rPr>
        <w:t xml:space="preserve">3. Risque de capitalisation</w:t>
      </w:r>
    </w:p>
    <w:p>
      <w:pPr>
        <w:spacing w:after="160" w:line="276"/>
        <w:jc w:val="both"/>
      </w:pPr>
      <w:r>
        <w:rPr>
          <w:sz w:val="21"/>
          <w:szCs w:val="21"/>
        </w:rPr>
        <w:t xml:space="preserve">Le ratio de capitalisation demeure conforme au minimum réglementaire de 15% (16,7%→16,3%→16,9%), mais le poids des fonds propres dans le bilan recule (18%→17%). Combiné à la hausse du coût du risque, cet effet limite la capacité d'autofinancement des fonds propres par mise en réserve du résultat, précisément au moment où le risque de crédit augmente — un effet de ciseau à double niveau entre rentabilité et capital.</w:t>
      </w:r>
    </w:p>
    <w:p>
      <w:pPr>
        <w:pStyle w:val="Heading2"/>
        <w:spacing w:after="100" w:before="240"/>
      </w:pPr>
      <w:r>
        <w:rPr>
          <w:b/>
          <w:bCs/>
          <w:color w:val="4B2E83"/>
          <w:sz w:val="24"/>
          <w:szCs w:val="24"/>
        </w:rPr>
        <w:t xml:space="preserve">4. Risque de rentabilité / soutenabilité du modèle</w:t>
      </w:r>
    </w:p>
    <w:p>
      <w:pPr>
        <w:spacing w:after="160" w:line="276"/>
        <w:jc w:val="both"/>
      </w:pPr>
      <w:r>
        <w:rPr>
          <w:sz w:val="21"/>
          <w:szCs w:val="21"/>
        </w:rPr>
        <w:t xml:space="preserve">L'effet ciseau PNB / résultat net et la baisse continue du ROA (cf. section II) questionnent, si la trajectoire se poursuit, la capacité de l'institution à autofinancer sa croissance sans recours à du capital externe.</w:t>
      </w:r>
    </w:p>
    <w:p>
      <w:pPr>
        <w:pStyle w:val="Heading2"/>
        <w:spacing w:after="100" w:before="240"/>
      </w:pPr>
      <w:r>
        <w:rPr>
          <w:b/>
          <w:bCs/>
          <w:color w:val="4B2E83"/>
          <w:sz w:val="24"/>
          <w:szCs w:val="24"/>
        </w:rPr>
        <w:t xml:space="preserve">5. Risque opérationnel / gouvernance</w:t>
      </w:r>
    </w:p>
    <w:p>
      <w:pPr>
        <w:spacing w:after="160" w:line="276"/>
        <w:jc w:val="both"/>
      </w:pPr>
      <w:r>
        <w:rPr>
          <w:sz w:val="21"/>
          <w:szCs w:val="21"/>
        </w:rPr>
        <w:t xml:space="preserve">Les ratios de concentration et de gouvernance restent largement dans les limites réglementaires (prêts aux dirigeants et personnes liées entre 1,9% et 2,3% pour un maximum de 10% ; risque sur signature unique sous 2% pour un maximum de 10%) — risque faible en l'état. L'absence d'audit externe sur les trois exercices présentés constitue toutefois un point structurant, limitant la fiabilité des chiffres transmis et devant être signalé comme une réserve méthodologique en comité, indépendamment de la qualité apparente des ratios calculés.</w:t>
      </w:r>
    </w:p>
    <w:p>
      <w:pPr>
        <w:pStyle w:val="Heading2"/>
        <w:spacing w:after="100" w:before="240"/>
      </w:pPr>
      <w:r>
        <w:rPr>
          <w:b/>
          <w:bCs/>
          <w:color w:val="4B2E83"/>
          <w:sz w:val="24"/>
          <w:szCs w:val="24"/>
        </w:rPr>
        <w:t xml:space="preserve">6. Risque de qualité des données transmises</w:t>
      </w:r>
    </w:p>
    <w:p>
      <w:pPr>
        <w:spacing w:after="160" w:line="276"/>
        <w:jc w:val="both"/>
      </w:pPr>
      <w:r>
        <w:rPr>
          <w:sz w:val="21"/>
          <w:szCs w:val="21"/>
        </w:rPr>
        <w:t xml:space="preserve">Une incohérence a été identifiée dans le calcul du ratio d'abandon de créances pour 2025 (affiché à -33,64%, variation de -2237%), signe probable d'une erreur de formule dans le fichier source (onglets Bilan_dev / Synthèse_dev), à corriger avant transmission, et qui renforce la nécessité d'une vérification indépendante des données en l'absence d'audit.</w:t>
      </w:r>
    </w:p>
    <w:p>
      <w:pPr>
        <w:pStyle w:val="Heading1"/>
        <w:pBdr>
          <w:bottom w:val="single" w:color="4B2E83" w:sz="6" w:space="4"/>
        </w:pBdr>
        <w:spacing w:after="150" w:before="300"/>
      </w:pPr>
      <w:r>
        <w:rPr>
          <w:b/>
          <w:bCs/>
          <w:color w:val="4B2E83"/>
          <w:sz w:val="28"/>
          <w:szCs w:val="28"/>
        </w:rPr>
        <w:t xml:space="preserve">IV. Synthèse et avis risque</w:t>
      </w:r>
    </w:p>
    <w:p>
      <w:pPr>
        <w:spacing w:after="160" w:line="276"/>
        <w:jc w:val="both"/>
      </w:pPr>
      <w:r>
        <w:rPr>
          <w:b/>
          <w:bCs/>
          <w:sz w:val="21"/>
          <w:szCs w:val="21"/>
        </w:rPr>
        <w:t xml:space="preserve">Forces : </w:t>
      </w:r>
      <w:r>
        <w:rPr>
          <w:sz w:val="21"/>
          <w:szCs w:val="21"/>
        </w:rPr>
        <w:t xml:space="preserve">croissance soutenue et financée de manière saine (dépôts clientèle en hausse au détriment de la dette institutionnelle), ratios de capitalisation, de liquidité et de gouvernance globalement conformes aux exigences réglementaires.</w:t>
      </w:r>
    </w:p>
    <w:p>
      <w:pPr>
        <w:spacing w:after="160" w:line="276"/>
        <w:jc w:val="both"/>
      </w:pPr>
      <w:r>
        <w:rPr>
          <w:b/>
          <w:bCs/>
          <w:sz w:val="21"/>
          <w:szCs w:val="21"/>
        </w:rPr>
        <w:t xml:space="preserve">Hiérarchisation des risques : </w:t>
      </w:r>
      <w:r>
        <w:rPr>
          <w:sz w:val="21"/>
          <w:szCs w:val="21"/>
        </w:rPr>
        <w:t xml:space="preserve">le risque de crédit (PAR / coût du risque) est dominant et doit conditionner la décision de comité. Les risques de liquidité et de capitalisation, bien que non critiques en l'état, sont à mettre sous surveillance rapprochée, car ils s'aggraveraient mécaniquement si la détérioration du portefeuille se poursuivait.</w:t>
      </w:r>
    </w:p>
    <w:p>
      <w:pPr>
        <w:spacing w:after="160" w:line="276"/>
        <w:jc w:val="both"/>
      </w:pPr>
      <w:r>
        <w:rPr>
          <w:b/>
          <w:bCs/>
          <w:sz w:val="21"/>
          <w:szCs w:val="21"/>
        </w:rPr>
        <w:t xml:space="preserve">Recommandation : </w:t>
      </w:r>
      <w:r>
        <w:rPr>
          <w:sz w:val="21"/>
          <w:szCs w:val="21"/>
        </w:rPr>
        <w:t xml:space="preserve">conditionner tout engagement ou renouvellement à un plan d'action correctif d'Advans CI sur le PAR et le coût du risque, obtenir le taux de couverture des risques par les provisions avant décision finale, et assurer un suivi rapproché du ratio de capitalisation aux prochains arrêtés.</w:t>
      </w:r>
    </w:p>
    <w:p>
      <w:pPr>
        <w:pStyle w:val="Heading1"/>
        <w:pBdr>
          <w:bottom w:val="single" w:color="4B2E83" w:sz="6" w:space="4"/>
        </w:pBdr>
        <w:spacing w:after="150" w:before="300"/>
      </w:pPr>
      <w:r>
        <w:rPr>
          <w:b/>
          <w:bCs/>
          <w:color w:val="4B2E83"/>
          <w:sz w:val="28"/>
          <w:szCs w:val="28"/>
        </w:rPr>
        <w:t xml:space="preserve">V. Questions à poser au Chargé d'Affaires</w:t>
      </w:r>
    </w:p>
    <w:p>
      <w:pPr>
        <w:pStyle w:val="Heading2"/>
        <w:spacing w:after="100" w:before="240"/>
      </w:pPr>
      <w:r>
        <w:rPr>
          <w:b/>
          <w:bCs/>
          <w:color w:val="4B2E83"/>
          <w:sz w:val="24"/>
          <w:szCs w:val="24"/>
        </w:rPr>
        <w:t xml:space="preserve">Sur la qualité du portefeuille et le provisionnement</w:t>
      </w:r>
    </w:p>
    <w:p>
      <w:pPr>
        <w:pStyle w:val="ListParagraph"/>
        <w:numPr>
          <w:ilvl w:val="0"/>
          <w:numId w:val="2"/>
        </w:numPr>
        <w:spacing w:after="100"/>
      </w:pPr>
      <w:r>
        <w:rPr>
          <w:sz w:val="21"/>
          <w:szCs w:val="21"/>
        </w:rPr>
        <w:t xml:space="preserve">Quel est le taux de couverture des risques par les provisions (provisions / PAR30 et PAR90) ? Cette donnée est absente des documents transmis et conditionne l'appréciation réelle du risque net.</w:t>
      </w:r>
    </w:p>
    <w:p>
      <w:pPr>
        <w:pStyle w:val="ListParagraph"/>
        <w:numPr>
          <w:ilvl w:val="0"/>
          <w:numId w:val="2"/>
        </w:numPr>
        <w:spacing w:after="100"/>
      </w:pPr>
      <w:r>
        <w:rPr>
          <w:sz w:val="21"/>
          <w:szCs w:val="21"/>
        </w:rPr>
        <w:t xml:space="preserve">Quelle est la répartition sectorielle et géographique du portefeuille en souffrance ? Y a-t-il une concentration sur certaines agences, filières ou types de clientèle ?</w:t>
      </w:r>
    </w:p>
    <w:p>
      <w:pPr>
        <w:pStyle w:val="ListParagraph"/>
        <w:numPr>
          <w:ilvl w:val="0"/>
          <w:numId w:val="2"/>
        </w:numPr>
        <w:spacing w:after="100"/>
      </w:pPr>
      <w:r>
        <w:rPr>
          <w:sz w:val="21"/>
          <w:szCs w:val="21"/>
        </w:rPr>
        <w:t xml:space="preserve">Le ticket moyen élevé (~93 Mrds pour ~14 500 emprunteurs) correspond-il à une évolution de cible clientèle (montée en gamme vers du PME/TPE) ou à une dérive du modèle initial de microfinance ?</w:t>
      </w:r>
    </w:p>
    <w:p>
      <w:pPr>
        <w:pStyle w:val="ListParagraph"/>
        <w:numPr>
          <w:ilvl w:val="0"/>
          <w:numId w:val="2"/>
        </w:numPr>
        <w:spacing w:after="100"/>
      </w:pPr>
      <w:r>
        <w:rPr>
          <w:sz w:val="21"/>
          <w:szCs w:val="21"/>
        </w:rPr>
        <w:t xml:space="preserve">Quelle est la tendance du PAR mois par mois depuis mai 2025 (dernière situation provisoire) ? La dégradation se poursuit-elle, se stabilise-t-elle, ou une reprise en main est-elle déjà visible ?</w:t>
      </w:r>
    </w:p>
    <w:p>
      <w:pPr>
        <w:pStyle w:val="ListParagraph"/>
        <w:numPr>
          <w:ilvl w:val="0"/>
          <w:numId w:val="2"/>
        </w:numPr>
        <w:spacing w:after="100"/>
      </w:pPr>
      <w:r>
        <w:rPr>
          <w:sz w:val="21"/>
          <w:szCs w:val="21"/>
        </w:rPr>
        <w:t xml:space="preserve">Quelles sont les mesures correctives déjà engagées par Advans CI (recouvrement, restructuration, durcissement de l'octroi) et depuis quand ?</w:t>
      </w:r>
    </w:p>
    <w:p>
      <w:pPr>
        <w:pStyle w:val="Heading2"/>
        <w:spacing w:after="100" w:before="240"/>
      </w:pPr>
      <w:r>
        <w:rPr>
          <w:b/>
          <w:bCs/>
          <w:color w:val="4B2E83"/>
          <w:sz w:val="24"/>
          <w:szCs w:val="24"/>
        </w:rPr>
        <w:t xml:space="preserve">Sur la gouvernance et la fiabilité des données</w:t>
      </w:r>
    </w:p>
    <w:p>
      <w:pPr>
        <w:pStyle w:val="ListParagraph"/>
        <w:numPr>
          <w:ilvl w:val="0"/>
          <w:numId w:val="2"/>
        </w:numPr>
        <w:spacing w:after="100"/>
      </w:pPr>
      <w:r>
        <w:rPr>
          <w:sz w:val="21"/>
          <w:szCs w:val="21"/>
        </w:rPr>
        <w:t xml:space="preserve">Pourquoi l'institution n'est-elle pas auditée sur les trois derniers exercices ? Un audit est-il prévu à court terme, et par quel cabinet ?</w:t>
      </w:r>
    </w:p>
    <w:p>
      <w:pPr>
        <w:pStyle w:val="ListParagraph"/>
        <w:numPr>
          <w:ilvl w:val="0"/>
          <w:numId w:val="2"/>
        </w:numPr>
        <w:spacing w:after="100"/>
      </w:pPr>
      <w:r>
        <w:rPr>
          <w:sz w:val="21"/>
          <w:szCs w:val="21"/>
        </w:rPr>
        <w:t xml:space="preserve">Peut-on obtenir une clarification sur le ratio d'abandon de créances 2025 affiché à -33,64% (variation -2237%), qui semble résulter d'une erreur de formule dans le fichier transmis ?</w:t>
      </w:r>
    </w:p>
    <w:p>
      <w:pPr>
        <w:pStyle w:val="ListParagraph"/>
        <w:numPr>
          <w:ilvl w:val="0"/>
          <w:numId w:val="2"/>
        </w:numPr>
        <w:spacing w:after="100"/>
      </w:pPr>
      <w:r>
        <w:rPr>
          <w:sz w:val="21"/>
          <w:szCs w:val="21"/>
        </w:rPr>
        <w:t xml:space="preserve">Existe-t-il un rapport de contrôle interne ou d'inspection BCEAO récent sur cette institution ?</w:t>
      </w:r>
    </w:p>
    <w:p>
      <w:pPr>
        <w:pStyle w:val="Heading2"/>
        <w:spacing w:after="100" w:before="240"/>
      </w:pPr>
      <w:r>
        <w:rPr>
          <w:b/>
          <w:bCs/>
          <w:color w:val="4B2E83"/>
          <w:sz w:val="24"/>
          <w:szCs w:val="24"/>
        </w:rPr>
        <w:t xml:space="preserve">Sur la structure financière et la stratégie</w:t>
      </w:r>
    </w:p>
    <w:p>
      <w:pPr>
        <w:pStyle w:val="ListParagraph"/>
        <w:numPr>
          <w:ilvl w:val="0"/>
          <w:numId w:val="2"/>
        </w:numPr>
        <w:spacing w:after="100"/>
      </w:pPr>
      <w:r>
        <w:rPr>
          <w:sz w:val="21"/>
          <w:szCs w:val="21"/>
        </w:rPr>
        <w:t xml:space="preserve">La baisse de la dette envers les institutions financières (-10% en 2025) est-elle un choix stratégique de désintermédiation, ou reflète-t-elle une difficulté d'accès à de nouvelles lignes de refinancement (dont potentiellement la nôtre) ?</w:t>
      </w:r>
    </w:p>
    <w:p>
      <w:pPr>
        <w:pStyle w:val="ListParagraph"/>
        <w:numPr>
          <w:ilvl w:val="0"/>
          <w:numId w:val="2"/>
        </w:numPr>
        <w:spacing w:after="100"/>
      </w:pPr>
      <w:r>
        <w:rPr>
          <w:sz w:val="21"/>
          <w:szCs w:val="21"/>
        </w:rPr>
        <w:t xml:space="preserve">Quelle est la stratégie de renforcement des fonds propres envisagée, sachant que leur poids relatif dans le bilan recule (18%→17%) malgré une capitalisation réglementaire encore conforme ?</w:t>
      </w:r>
    </w:p>
    <w:p>
      <w:pPr>
        <w:pStyle w:val="ListParagraph"/>
        <w:numPr>
          <w:ilvl w:val="0"/>
          <w:numId w:val="2"/>
        </w:numPr>
        <w:spacing w:after="100"/>
      </w:pPr>
      <w:r>
        <w:rPr>
          <w:sz w:val="21"/>
          <w:szCs w:val="21"/>
        </w:rPr>
        <w:t xml:space="preserve">Quelle est la politique de gestion actif-passif face au recul de la couverture des emplois MLT par ressources stables (139%→129%) ? Un risque de transformation est-il anticipé si la croissance du crédit se poursuit au même rythme ?</w:t>
      </w:r>
    </w:p>
    <w:p>
      <w:pPr>
        <w:pStyle w:val="Heading2"/>
        <w:spacing w:after="100" w:before="240"/>
      </w:pPr>
      <w:r>
        <w:rPr>
          <w:b/>
          <w:bCs/>
          <w:color w:val="4B2E83"/>
          <w:sz w:val="24"/>
          <w:szCs w:val="24"/>
        </w:rPr>
        <w:t xml:space="preserve">Sur la demande en cours</w:t>
      </w:r>
    </w:p>
    <w:p>
      <w:pPr>
        <w:pStyle w:val="ListParagraph"/>
        <w:numPr>
          <w:ilvl w:val="0"/>
          <w:numId w:val="2"/>
        </w:numPr>
        <w:spacing w:after="100"/>
      </w:pPr>
      <w:r>
        <w:rPr>
          <w:sz w:val="21"/>
          <w:szCs w:val="21"/>
        </w:rPr>
        <w:t xml:space="preserve">Quel est l'objet précis de la sollicitation actuelle et comment s'articule-t-elle avec le plan de redressement du PAR ?</w:t>
      </w:r>
    </w:p>
    <w:p>
      <w:pPr>
        <w:pStyle w:val="ListParagraph"/>
        <w:numPr>
          <w:ilvl w:val="0"/>
          <w:numId w:val="2"/>
        </w:numPr>
        <w:spacing w:after="100"/>
      </w:pPr>
      <w:r>
        <w:rPr>
          <w:sz w:val="21"/>
          <w:szCs w:val="21"/>
        </w:rPr>
        <w:t xml:space="preserve">Des covenants ou reportings renforcés (PAR, couverture provisions) peuvent-ils être proposés à l'institution en contrepartie de l'engagement ?</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2026-07-10T09:33:08.861Z</dcterms:created>
  <dcterms:modified xsi:type="dcterms:W3CDTF">2026-07-10T09:33:08.878Z</dcterms:modified>
</cp:coreProperties>
</file>

<file path=docProps/custom.xml><?xml version="1.0" encoding="utf-8"?>
<Properties xmlns="http://schemas.openxmlformats.org/officeDocument/2006/custom-properties" xmlns:vt="http://schemas.openxmlformats.org/officeDocument/2006/docPropsVTypes"/>
</file>