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F04B2" w14:textId="77777777" w:rsidR="00FC5543" w:rsidRPr="00FC5543" w:rsidRDefault="00FC5543" w:rsidP="00FC5543">
      <w:pPr>
        <w:rPr>
          <w:b/>
          <w:bCs/>
        </w:rPr>
      </w:pPr>
      <w:r w:rsidRPr="00FC5543">
        <w:rPr>
          <w:b/>
          <w:bCs/>
        </w:rPr>
        <w:t>Analyse Financière – ADVANS CI (IMF, zone UEMOA/SYSCOHA)</w:t>
      </w:r>
    </w:p>
    <w:p w14:paraId="0A63D591" w14:textId="77777777" w:rsidR="00FC5543" w:rsidRPr="00FC5543" w:rsidRDefault="00FC5543" w:rsidP="00FC5543">
      <w:pPr>
        <w:rPr>
          <w:b/>
          <w:bCs/>
        </w:rPr>
      </w:pPr>
      <w:r w:rsidRPr="00FC5543">
        <w:rPr>
          <w:b/>
          <w:bCs/>
        </w:rPr>
        <w:t>1. Profil de croissance et lecture du bilan</w:t>
      </w:r>
    </w:p>
    <w:p w14:paraId="3304D84B" w14:textId="77777777" w:rsidR="00FC5543" w:rsidRPr="00FC5543" w:rsidRDefault="00FC5543" w:rsidP="00FC5543">
      <w:r w:rsidRPr="00FC5543">
        <w:t xml:space="preserve">Le bilan croît de 98,5 à 115,9 Mrds XOF sur 2023-2025 (+6% puis +11%), une accélération portée par le portefeuille de crédit (+5% puis +10%, passant de 86 à 100 Mrds). Ce qui est significatif ici n'est pas la croissance en elle-même, mais </w:t>
      </w:r>
      <w:r w:rsidRPr="00FC5543">
        <w:rPr>
          <w:b/>
          <w:bCs/>
        </w:rPr>
        <w:t>la manière dont elle est financée</w:t>
      </w:r>
      <w:r w:rsidRPr="00FC5543">
        <w:t xml:space="preserve"> : les dépôts clientèle passent de 71% à 76% du passif, tandis que les dettes envers institutions financières reculent en poids (6%→5%) et en valeur absolue en 2025 (-10%). Concrètement, </w:t>
      </w:r>
      <w:proofErr w:type="spellStart"/>
      <w:r w:rsidRPr="00FC5543">
        <w:t>Advans</w:t>
      </w:r>
      <w:proofErr w:type="spellEnd"/>
      <w:r w:rsidRPr="00FC5543">
        <w:t xml:space="preserve"> CI substitue progressivement du refinancement institutionnel par de la collecte propre — un mouvement structurellement positif (coût de financement plus bas, moindre dépendance externe), mais qui mérite d'être questionné : est-ce un choix stratégique de désintermédiation, ou une contrainte d'accès aux lignes institutionnelles ? La part des dépôts à vue (15-17% du passif) reste par ailleurs à surveiller au titre du risque de transformation, dans un contexte de portefeuille de crédit majoritairement à moyen terme.</w:t>
      </w:r>
    </w:p>
    <w:p w14:paraId="5BEA8D10" w14:textId="77777777" w:rsidR="00FC5543" w:rsidRPr="00FC5543" w:rsidRDefault="00FC5543" w:rsidP="00FC5543">
      <w:r w:rsidRPr="00FC5543">
        <w:rPr>
          <w:b/>
          <w:bCs/>
        </w:rPr>
        <w:t>Point de vigilance structurel</w:t>
      </w:r>
      <w:r w:rsidRPr="00FC5543">
        <w:t xml:space="preserve"> : les fonds propres progressent en valeur absolue (18,0→20,0 Mrds) mais </w:t>
      </w:r>
      <w:r w:rsidRPr="00FC5543">
        <w:rPr>
          <w:b/>
          <w:bCs/>
        </w:rPr>
        <w:t>régressent en poids relatif</w:t>
      </w:r>
      <w:r w:rsidRPr="00FC5543">
        <w:t xml:space="preserve"> (18%→17%), car le bilan croît plus vite que l'accumulation de résultats. La marge de capitalisation prudentielle (min. 15% BCEAO) reste confortable (16,7%→16,3%→16,9%), donc pas d'alerte réglementaire immédiate — mais la trajectoire indique que la capacité d'absorption de croissance future par les fonds propres s'érode, ce qui pourrait contraindre l'expansion du portefeuille sans renforcement de capital.</w:t>
      </w:r>
    </w:p>
    <w:p w14:paraId="50327428" w14:textId="77777777" w:rsidR="00FC5543" w:rsidRPr="00FC5543" w:rsidRDefault="00FC5543" w:rsidP="00FC5543">
      <w:pPr>
        <w:rPr>
          <w:b/>
          <w:bCs/>
        </w:rPr>
      </w:pPr>
      <w:r w:rsidRPr="00FC5543">
        <w:rPr>
          <w:b/>
          <w:bCs/>
        </w:rPr>
        <w:t>2. Rentabilité : un effet ciseau qui s'installe</w:t>
      </w:r>
    </w:p>
    <w:p w14:paraId="3A9EF81A" w14:textId="77777777" w:rsidR="00FC5543" w:rsidRPr="00FC5543" w:rsidRDefault="00FC5543" w:rsidP="00FC5543">
      <w:r w:rsidRPr="00FC5543">
        <w:t xml:space="preserve">Le PNB progresse en cohérence avec l'activité (+6%, +11%), mais </w:t>
      </w:r>
      <w:r w:rsidRPr="00FC5543">
        <w:rPr>
          <w:b/>
          <w:bCs/>
        </w:rPr>
        <w:t>le résultat net régresse sur la même période</w:t>
      </w:r>
      <w:r w:rsidRPr="00FC5543">
        <w:t xml:space="preserve"> (-29% en 2024, -5% en 2025). Ce découplage n'est pas anodin : il révèle un effet ciseau entre le produit d'exploitation et deux postes de charges :</w:t>
      </w:r>
    </w:p>
    <w:p w14:paraId="7FA0C18D" w14:textId="77777777" w:rsidR="00FC5543" w:rsidRPr="00FC5543" w:rsidRDefault="00FC5543" w:rsidP="00FC5543">
      <w:pPr>
        <w:numPr>
          <w:ilvl w:val="0"/>
          <w:numId w:val="1"/>
        </w:numPr>
      </w:pPr>
      <w:proofErr w:type="gramStart"/>
      <w:r w:rsidRPr="00FC5543">
        <w:t>le</w:t>
      </w:r>
      <w:proofErr w:type="gramEnd"/>
      <w:r w:rsidRPr="00FC5543">
        <w:t xml:space="preserve"> coefficient d'exploitation reste élevé et quasi stagnant (71%→72%→70%) — pas de dérive nette, donc ce n'est pas le facteur explicatif principal ;</w:t>
      </w:r>
    </w:p>
    <w:p w14:paraId="552E42B2" w14:textId="77777777" w:rsidR="00FC5543" w:rsidRPr="00FC5543" w:rsidRDefault="00FC5543" w:rsidP="00FC5543">
      <w:pPr>
        <w:numPr>
          <w:ilvl w:val="0"/>
          <w:numId w:val="1"/>
        </w:numPr>
      </w:pPr>
      <w:proofErr w:type="gramStart"/>
      <w:r w:rsidRPr="00FC5543">
        <w:rPr>
          <w:b/>
          <w:bCs/>
        </w:rPr>
        <w:t>le</w:t>
      </w:r>
      <w:proofErr w:type="gramEnd"/>
      <w:r w:rsidRPr="00FC5543">
        <w:rPr>
          <w:b/>
          <w:bCs/>
        </w:rPr>
        <w:t xml:space="preserve"> coût net du risque (CNR) progresse beaucoup plus vite que le PNB et le portefeuille</w:t>
      </w:r>
      <w:r w:rsidRPr="00FC5543">
        <w:t xml:space="preserve"> : +25% puis +36%, contre +6%/+11% pour le PNB et +5%/+10% pour le portefeuille.</w:t>
      </w:r>
    </w:p>
    <w:p w14:paraId="6AC185E5" w14:textId="77777777" w:rsidR="00FC5543" w:rsidRPr="00FC5543" w:rsidRDefault="00FC5543" w:rsidP="00FC5543">
      <w:r w:rsidRPr="00FC5543">
        <w:t>C'est donc bien la dégradation du risque de crédit, et non les charges de structure, qui tire la rentabilité vers le bas. Le ROA (13%→9%→8%) et le ratio Résultat net/PNB (16%→11%→9%) confirment cet effritement structurel plutôt que conjoncturel.</w:t>
      </w:r>
    </w:p>
    <w:p w14:paraId="1D3A9D3A" w14:textId="77777777" w:rsidR="00FC5543" w:rsidRPr="00FC5543" w:rsidRDefault="00FC5543" w:rsidP="00FC5543">
      <w:pPr>
        <w:rPr>
          <w:b/>
          <w:bCs/>
        </w:rPr>
      </w:pPr>
      <w:r w:rsidRPr="00FC5543">
        <w:rPr>
          <w:b/>
          <w:bCs/>
        </w:rPr>
        <w:t>3. Qualité du portefeuille : le point central du dossier</w:t>
      </w:r>
    </w:p>
    <w:p w14:paraId="6CAE7749" w14:textId="77777777" w:rsidR="00FC5543" w:rsidRPr="00FC5543" w:rsidRDefault="00FC5543" w:rsidP="00FC5543">
      <w:r w:rsidRPr="00FC5543">
        <w:t>C'est ici que se concentre le risque de crédit :</w:t>
      </w:r>
    </w:p>
    <w:p w14:paraId="7C2314B7" w14:textId="77777777" w:rsidR="00FC5543" w:rsidRPr="00FC5543" w:rsidRDefault="00FC5543" w:rsidP="00FC5543">
      <w:pPr>
        <w:numPr>
          <w:ilvl w:val="0"/>
          <w:numId w:val="2"/>
        </w:numPr>
      </w:pPr>
      <w:r w:rsidRPr="00FC5543">
        <w:t>Coût du risque/portefeuille brut : 2,58%→3,05%→3,77%, soit +46% cumulé sur 2 ans — tendance haussière continue.</w:t>
      </w:r>
    </w:p>
    <w:p w14:paraId="68DEB194" w14:textId="77777777" w:rsidR="00FC5543" w:rsidRPr="00FC5543" w:rsidRDefault="00FC5543" w:rsidP="00FC5543">
      <w:pPr>
        <w:numPr>
          <w:ilvl w:val="0"/>
          <w:numId w:val="2"/>
        </w:numPr>
      </w:pPr>
      <w:r w:rsidRPr="00FC5543">
        <w:rPr>
          <w:b/>
          <w:bCs/>
        </w:rPr>
        <w:t>Situation provisoire à mai 2025 (document CREDAPP)</w:t>
      </w:r>
      <w:r w:rsidRPr="00FC5543">
        <w:t xml:space="preserve"> : PAR30 = 5,40% (seuil BCEAO max 5%), PAR90 = 3,37% (seuil max 3%), PAR180 = 2,60% (seuil max 2%). </w:t>
      </w:r>
      <w:r w:rsidRPr="00FC5543">
        <w:rPr>
          <w:b/>
          <w:bCs/>
        </w:rPr>
        <w:t>Les trois seuils prudentiels de qualité de portefeuille sont simultanément dépassés.</w:t>
      </w:r>
      <w:r w:rsidRPr="00FC5543">
        <w:t xml:space="preserve"> C'est une alerte réglementaire et de risque de crédit de premier ordre, cohérente avec la hausse du CNR observée au compte de résultat — les deux indicateurs se corroborent, ce n'est pas un artefact isolé.</w:t>
      </w:r>
    </w:p>
    <w:p w14:paraId="424F79C5" w14:textId="77777777" w:rsidR="00FC5543" w:rsidRPr="00FC5543" w:rsidRDefault="00FC5543" w:rsidP="00FC5543">
      <w:pPr>
        <w:numPr>
          <w:ilvl w:val="0"/>
          <w:numId w:val="2"/>
        </w:numPr>
      </w:pPr>
      <w:r w:rsidRPr="00FC5543">
        <w:t>Sur la période : 2,5 Mrds de créances abandonnées pour 1,07 Mrd récupérées, soit un taux de récupération d'environ 43% — moyen, sans être alarmant en tant que tel.</w:t>
      </w:r>
    </w:p>
    <w:p w14:paraId="7DFF4FD5" w14:textId="77777777" w:rsidR="00FC5543" w:rsidRPr="00FC5543" w:rsidRDefault="00FC5543" w:rsidP="00FC5543">
      <w:pPr>
        <w:numPr>
          <w:ilvl w:val="0"/>
          <w:numId w:val="2"/>
        </w:numPr>
      </w:pPr>
      <w:r w:rsidRPr="00FC5543">
        <w:rPr>
          <w:rFonts w:ascii="Segoe UI Emoji" w:hAnsi="Segoe UI Emoji" w:cs="Segoe UI Emoji"/>
        </w:rPr>
        <w:lastRenderedPageBreak/>
        <w:t>⚠️</w:t>
      </w:r>
      <w:r w:rsidRPr="00FC5543">
        <w:t xml:space="preserve"> Le ratio d'abandon de créances affiché en synthèse pour 2025 (-33,64%, variation -2237%) est incohérent avec un ratio qui devrait être positif et croissant compte tenu des </w:t>
      </w:r>
      <w:proofErr w:type="spellStart"/>
      <w:r w:rsidRPr="00FC5543">
        <w:t>write-offs</w:t>
      </w:r>
      <w:proofErr w:type="spellEnd"/>
      <w:r w:rsidRPr="00FC5543">
        <w:t xml:space="preserve"> constatés — probable erreur de formule Excel (référence ou signe) à corriger avant transmission en comité.</w:t>
      </w:r>
    </w:p>
    <w:p w14:paraId="46A69358" w14:textId="77777777" w:rsidR="00FC5543" w:rsidRPr="00FC5543" w:rsidRDefault="00FC5543" w:rsidP="00FC5543">
      <w:pPr>
        <w:rPr>
          <w:b/>
          <w:bCs/>
        </w:rPr>
      </w:pPr>
      <w:r w:rsidRPr="00FC5543">
        <w:rPr>
          <w:b/>
          <w:bCs/>
        </w:rPr>
        <w:t>4. Conformité réglementaire (hors qualité de portefeuille)</w:t>
      </w:r>
    </w:p>
    <w:p w14:paraId="7F6F5F45" w14:textId="77777777" w:rsidR="00FC5543" w:rsidRPr="00FC5543" w:rsidRDefault="00FC5543" w:rsidP="00FC5543">
      <w:r w:rsidRPr="00FC5543">
        <w:t>Les autres ratios prudentiels BCEAO restent globalement conformes : limitation des risques (100-108% vs max 200%), norme de liquidité (115-119%, conforme aux seuils par tranche), gouvernance/concentration (prêts dirigeants, signature unique) très en-deçà des plafonds. La couverture des emplois MLT par ressources stables recule (139%→129%) mais reste largement au-dessus du minimum de 100% — à surveiller mais non critique.</w:t>
      </w:r>
    </w:p>
    <w:p w14:paraId="6EA6E521" w14:textId="77777777" w:rsidR="00FC5543" w:rsidRPr="00FC5543" w:rsidRDefault="00FC5543" w:rsidP="00FC5543">
      <w:pPr>
        <w:rPr>
          <w:b/>
          <w:bCs/>
        </w:rPr>
      </w:pPr>
      <w:r w:rsidRPr="00FC5543">
        <w:rPr>
          <w:b/>
          <w:bCs/>
        </w:rPr>
        <w:t>5. Synthèse et avis risque</w:t>
      </w:r>
    </w:p>
    <w:p w14:paraId="13B127FD" w14:textId="77777777" w:rsidR="00FC5543" w:rsidRPr="00FC5543" w:rsidRDefault="00FC5543" w:rsidP="00FC5543">
      <w:r w:rsidRPr="00FC5543">
        <w:rPr>
          <w:b/>
          <w:bCs/>
        </w:rPr>
        <w:t>Forces</w:t>
      </w:r>
      <w:r w:rsidRPr="00FC5543">
        <w:t xml:space="preserve"> : croissance soutenue et financée de manière saine (dépôts &gt; dette institutionnelle), ratios de capitalisation et de liquidité réglementaires respectés, absence de risque de concentration ou de gouvernance.</w:t>
      </w:r>
    </w:p>
    <w:p w14:paraId="0E57D846" w14:textId="77777777" w:rsidR="00FC5543" w:rsidRPr="00FC5543" w:rsidRDefault="00FC5543" w:rsidP="00FC5543">
      <w:r w:rsidRPr="00FC5543">
        <w:rPr>
          <w:b/>
          <w:bCs/>
        </w:rPr>
        <w:t>Points de vigilance à documenter en comité</w:t>
      </w:r>
      <w:r w:rsidRPr="00FC5543">
        <w:t xml:space="preserve"> :</w:t>
      </w:r>
    </w:p>
    <w:p w14:paraId="5B10B438" w14:textId="77777777" w:rsidR="00FC5543" w:rsidRPr="00FC5543" w:rsidRDefault="00FC5543" w:rsidP="00FC5543">
      <w:pPr>
        <w:numPr>
          <w:ilvl w:val="0"/>
          <w:numId w:val="3"/>
        </w:numPr>
      </w:pPr>
      <w:r w:rsidRPr="00FC5543">
        <w:t>Dépassement simultané des trois seuils PAR (30/90/180) à mai 2025 — signal de dégradation avérée, pas seulement tendancielle.</w:t>
      </w:r>
    </w:p>
    <w:p w14:paraId="2ADEAA6D" w14:textId="77777777" w:rsidR="00FC5543" w:rsidRPr="00FC5543" w:rsidRDefault="00FC5543" w:rsidP="00FC5543">
      <w:pPr>
        <w:numPr>
          <w:ilvl w:val="0"/>
          <w:numId w:val="3"/>
        </w:numPr>
      </w:pPr>
      <w:r w:rsidRPr="00FC5543">
        <w:t>Coût du risque croissant plus vite que le portefeuille — dégradation structurelle du risque de crédit, non un simple effet de volume.</w:t>
      </w:r>
    </w:p>
    <w:p w14:paraId="3B3CE885" w14:textId="77777777" w:rsidR="00FC5543" w:rsidRPr="00FC5543" w:rsidRDefault="00FC5543" w:rsidP="00FC5543">
      <w:pPr>
        <w:numPr>
          <w:ilvl w:val="0"/>
          <w:numId w:val="3"/>
        </w:numPr>
      </w:pPr>
      <w:r w:rsidRPr="00FC5543">
        <w:t>Effet ciseau PNB/résultat net entièrement imputable au risque, avec ROA en baisse continue.</w:t>
      </w:r>
    </w:p>
    <w:p w14:paraId="2AB116C0" w14:textId="77777777" w:rsidR="00FC5543" w:rsidRPr="00FC5543" w:rsidRDefault="00FC5543" w:rsidP="00FC5543">
      <w:pPr>
        <w:numPr>
          <w:ilvl w:val="0"/>
          <w:numId w:val="3"/>
        </w:numPr>
      </w:pPr>
      <w:r w:rsidRPr="00FC5543">
        <w:t>Érosion relative des fonds propres dans le bilan, à surveiller malgré un ratio réglementaire encore satisfaisant.</w:t>
      </w:r>
    </w:p>
    <w:p w14:paraId="66C294D2" w14:textId="77777777" w:rsidR="00FC5543" w:rsidRPr="00FC5543" w:rsidRDefault="00FC5543" w:rsidP="00FC5543">
      <w:r w:rsidRPr="00FC5543">
        <w:rPr>
          <w:b/>
          <w:bCs/>
        </w:rPr>
        <w:t>Recommandation</w:t>
      </w:r>
      <w:r w:rsidRPr="00FC5543">
        <w:t xml:space="preserve"> : conditionner tout engagement/renouvellement à un plan d'action correctif d'</w:t>
      </w:r>
      <w:proofErr w:type="spellStart"/>
      <w:r w:rsidRPr="00FC5543">
        <w:t>Advans</w:t>
      </w:r>
      <w:proofErr w:type="spellEnd"/>
      <w:r w:rsidRPr="00FC5543">
        <w:t xml:space="preserve"> CI sur le PAR et le coût du risque, avec un suivi rapproché du ratio de capitalisation dans les prochains arrêtés.</w:t>
      </w:r>
    </w:p>
    <w:p w14:paraId="51D42AA8" w14:textId="77777777" w:rsidR="00FC5543" w:rsidRPr="00FC5543" w:rsidRDefault="00FC5543" w:rsidP="00FC5543">
      <w:r w:rsidRPr="00FC5543">
        <w:t>Souhaites-tu que je mette ça en forme dans un document Word structuré pour le comité, ou que je creuse un point en particulier (ex. la cohérence PAR/CNR, ou la structure de financement) ?</w:t>
      </w:r>
    </w:p>
    <w:p w14:paraId="53755E39" w14:textId="77777777" w:rsidR="00FC5543" w:rsidRPr="00FC5543" w:rsidRDefault="00FC5543" w:rsidP="00FC5543">
      <w:proofErr w:type="gramStart"/>
      <w:r w:rsidRPr="00FC5543">
        <w:t>combine</w:t>
      </w:r>
      <w:proofErr w:type="gramEnd"/>
      <w:r w:rsidRPr="00FC5543">
        <w:t xml:space="preserve"> les deux </w:t>
      </w:r>
      <w:proofErr w:type="spellStart"/>
      <w:r w:rsidRPr="00FC5543">
        <w:t>redaction</w:t>
      </w:r>
      <w:proofErr w:type="spellEnd"/>
      <w:r w:rsidRPr="00FC5543">
        <w:t xml:space="preserve"> de </w:t>
      </w:r>
      <w:proofErr w:type="spellStart"/>
      <w:r w:rsidRPr="00FC5543">
        <w:t>maniere</w:t>
      </w:r>
      <w:proofErr w:type="spellEnd"/>
      <w:r w:rsidRPr="00FC5543">
        <w:t xml:space="preserve"> structuré</w:t>
      </w:r>
    </w:p>
    <w:p w14:paraId="58AC9FD3" w14:textId="77777777" w:rsidR="00FC5543" w:rsidRPr="00FC5543" w:rsidRDefault="00FC5543" w:rsidP="00FC5543">
      <w:proofErr w:type="spellStart"/>
      <w:r w:rsidRPr="00FC5543">
        <w:t>Deliberated</w:t>
      </w:r>
      <w:proofErr w:type="spellEnd"/>
      <w:r w:rsidRPr="00FC5543">
        <w:t xml:space="preserve"> format options pour réponse structurée combinée</w:t>
      </w:r>
    </w:p>
    <w:p w14:paraId="717C49CD" w14:textId="77777777" w:rsidR="00FC5543" w:rsidRPr="00FC5543" w:rsidRDefault="00FC5543" w:rsidP="00FC5543">
      <w:proofErr w:type="spellStart"/>
      <w:r w:rsidRPr="00FC5543">
        <w:t>Deliberated</w:t>
      </w:r>
      <w:proofErr w:type="spellEnd"/>
      <w:r w:rsidRPr="00FC5543">
        <w:t xml:space="preserve"> format options pour réponse structurée combinée</w:t>
      </w:r>
    </w:p>
    <w:p w14:paraId="482829BE" w14:textId="77777777" w:rsidR="00FC5543" w:rsidRPr="00FC5543" w:rsidRDefault="00FC5543" w:rsidP="00FC5543">
      <w:pPr>
        <w:rPr>
          <w:b/>
          <w:bCs/>
        </w:rPr>
      </w:pPr>
      <w:r w:rsidRPr="00FC5543">
        <w:rPr>
          <w:b/>
          <w:bCs/>
        </w:rPr>
        <w:t>Analyse Financière et Cartographie des Risques – ADVANS CI</w:t>
      </w:r>
    </w:p>
    <w:p w14:paraId="47D649FF" w14:textId="77777777" w:rsidR="00FC5543" w:rsidRPr="00FC5543" w:rsidRDefault="00FC5543" w:rsidP="00FC5543">
      <w:pPr>
        <w:rPr>
          <w:b/>
          <w:bCs/>
        </w:rPr>
      </w:pPr>
      <w:r w:rsidRPr="00FC5543">
        <w:rPr>
          <w:b/>
          <w:bCs/>
        </w:rPr>
        <w:t>(IMF, zone UEMOA/OHADA – Norme SYSCOHA, non auditée)</w:t>
      </w:r>
    </w:p>
    <w:p w14:paraId="02E18BAA" w14:textId="77777777" w:rsidR="00FC5543" w:rsidRPr="00FC5543" w:rsidRDefault="00FC5543" w:rsidP="00FC5543">
      <w:r w:rsidRPr="00FC5543">
        <w:pict w14:anchorId="1DD294CF">
          <v:rect id="_x0000_i1055" style="width:0;height:1.5pt" o:hralign="center" o:hrstd="t" o:hr="t" fillcolor="#a0a0a0" stroked="f"/>
        </w:pict>
      </w:r>
    </w:p>
    <w:p w14:paraId="21B7ABF0" w14:textId="77777777" w:rsidR="00FC5543" w:rsidRPr="00FC5543" w:rsidRDefault="00FC5543" w:rsidP="00FC5543">
      <w:pPr>
        <w:rPr>
          <w:b/>
          <w:bCs/>
        </w:rPr>
      </w:pPr>
      <w:r w:rsidRPr="00FC5543">
        <w:rPr>
          <w:b/>
          <w:bCs/>
        </w:rPr>
        <w:t>I. Profil de croissance et structure bilancielle</w:t>
      </w:r>
    </w:p>
    <w:p w14:paraId="1E4BCBFE" w14:textId="77777777" w:rsidR="00FC5543" w:rsidRPr="00FC5543" w:rsidRDefault="00FC5543" w:rsidP="00FC5543">
      <w:r w:rsidRPr="00FC5543">
        <w:t xml:space="preserve">Le bilan croît de 98,5 à 115,9 Mrds XOF sur 2023-2025 (+6% puis +11%), une accélération portée par le portefeuille de crédit (+5% puis +10%, de 86 à 100 Mrds). L'élément notable n'est pas la croissance elle-même mais son mode de financement : les dépôts clientèle passent de 71% à 76% du passif, </w:t>
      </w:r>
      <w:r w:rsidRPr="00FC5543">
        <w:lastRenderedPageBreak/>
        <w:t xml:space="preserve">tandis que les dettes envers institutions financières reculent en poids (6%→5%) et en valeur absolue en 2025 (-10%). </w:t>
      </w:r>
      <w:proofErr w:type="spellStart"/>
      <w:r w:rsidRPr="00FC5543">
        <w:t>Advans</w:t>
      </w:r>
      <w:proofErr w:type="spellEnd"/>
      <w:r w:rsidRPr="00FC5543">
        <w:t xml:space="preserve"> CI substitue donc progressivement du refinancement institutionnel par de la collecte propre — mouvement structurellement positif (coût de financement plus bas, moindre dépendance externe), mais qui interroge : choix stratégique de désintermédiation, ou contrainte d'accès aux lignes institutionnelles ?</w:t>
      </w:r>
    </w:p>
    <w:p w14:paraId="5CDD836C" w14:textId="77777777" w:rsidR="00FC5543" w:rsidRPr="00FC5543" w:rsidRDefault="00FC5543" w:rsidP="00FC5543">
      <w:r w:rsidRPr="00FC5543">
        <w:rPr>
          <w:b/>
          <w:bCs/>
        </w:rPr>
        <w:t>Point de vigilance</w:t>
      </w:r>
      <w:r w:rsidRPr="00FC5543">
        <w:t xml:space="preserve"> : les fonds propres progressent en valeur (18,0→20,0 Mrds) mais reculent en poids relatif (18%→17%), le bilan croissant plus vite que l'accumulation de résultats.</w:t>
      </w:r>
    </w:p>
    <w:p w14:paraId="3907B042" w14:textId="77777777" w:rsidR="00FC5543" w:rsidRPr="00FC5543" w:rsidRDefault="00FC5543" w:rsidP="00FC5543">
      <w:r w:rsidRPr="00FC5543">
        <w:pict w14:anchorId="32A385F8">
          <v:rect id="_x0000_i1056" style="width:0;height:1.5pt" o:hralign="center" o:hrstd="t" o:hr="t" fillcolor="#a0a0a0" stroked="f"/>
        </w:pict>
      </w:r>
    </w:p>
    <w:p w14:paraId="7701AEA3" w14:textId="77777777" w:rsidR="00FC5543" w:rsidRPr="00FC5543" w:rsidRDefault="00FC5543" w:rsidP="00FC5543">
      <w:pPr>
        <w:rPr>
          <w:b/>
          <w:bCs/>
        </w:rPr>
      </w:pPr>
      <w:r w:rsidRPr="00FC5543">
        <w:rPr>
          <w:b/>
          <w:bCs/>
        </w:rPr>
        <w:t>II. Rentabilité : un effet ciseau qui s'installe</w:t>
      </w:r>
    </w:p>
    <w:p w14:paraId="16959B2E" w14:textId="77777777" w:rsidR="00FC5543" w:rsidRPr="00FC5543" w:rsidRDefault="00FC5543" w:rsidP="00FC5543">
      <w:r w:rsidRPr="00FC5543">
        <w:t xml:space="preserve">Le PNB progresse en cohérence avec l'activité (+6%, +11%), mais </w:t>
      </w:r>
      <w:r w:rsidRPr="00FC5543">
        <w:rPr>
          <w:b/>
          <w:bCs/>
        </w:rPr>
        <w:t>le résultat net régresse sur la même période</w:t>
      </w:r>
      <w:r w:rsidRPr="00FC5543">
        <w:t xml:space="preserve"> (-29% en 2024, -5% en 2025). Le coefficient d'exploitation reste stable (71%→72%→70%), écartant les charges de structure comme facteur explicatif. C'est </w:t>
      </w:r>
      <w:r w:rsidRPr="00FC5543">
        <w:rPr>
          <w:b/>
          <w:bCs/>
        </w:rPr>
        <w:t>le coût net du risque (CNR)</w:t>
      </w:r>
      <w:r w:rsidRPr="00FC5543">
        <w:t xml:space="preserve"> qui tire la rentabilité vers le bas, progressant beaucoup plus vite que le PNB et le portefeuille (+25% puis +36%, contre +6%/+11% et +5%/+10%). Le ROA (13%→9%→8%) et le ratio Résultat net/PNB (16%→11%→9%) confirment un effritement structurel, non conjoncturel.</w:t>
      </w:r>
    </w:p>
    <w:p w14:paraId="046EDFD9" w14:textId="77777777" w:rsidR="00FC5543" w:rsidRPr="00FC5543" w:rsidRDefault="00FC5543" w:rsidP="00FC5543">
      <w:r w:rsidRPr="00FC5543">
        <w:pict w14:anchorId="46573A7C">
          <v:rect id="_x0000_i1057" style="width:0;height:1.5pt" o:hralign="center" o:hrstd="t" o:hr="t" fillcolor="#a0a0a0" stroked="f"/>
        </w:pict>
      </w:r>
    </w:p>
    <w:p w14:paraId="2C8E3AC9" w14:textId="77777777" w:rsidR="00FC5543" w:rsidRPr="00FC5543" w:rsidRDefault="00FC5543" w:rsidP="00FC5543">
      <w:pPr>
        <w:rPr>
          <w:b/>
          <w:bCs/>
        </w:rPr>
      </w:pPr>
      <w:r w:rsidRPr="00FC5543">
        <w:rPr>
          <w:b/>
          <w:bCs/>
        </w:rPr>
        <w:t>III. Cartographie des risques</w:t>
      </w:r>
    </w:p>
    <w:p w14:paraId="6771F846" w14:textId="77777777" w:rsidR="00FC5543" w:rsidRPr="00FC5543" w:rsidRDefault="00FC5543" w:rsidP="00FC5543">
      <w:pPr>
        <w:rPr>
          <w:b/>
          <w:bCs/>
        </w:rPr>
      </w:pPr>
      <w:r w:rsidRPr="00FC5543">
        <w:rPr>
          <w:b/>
          <w:bCs/>
        </w:rPr>
        <w:t xml:space="preserve">1. Risque de crédit — </w:t>
      </w:r>
      <w:r w:rsidRPr="00FC5543">
        <w:rPr>
          <w:b/>
          <w:bCs/>
          <w:i/>
          <w:iCs/>
        </w:rPr>
        <w:t>risque majeur du dossier</w:t>
      </w:r>
    </w:p>
    <w:p w14:paraId="1A4E8BAB" w14:textId="77777777" w:rsidR="00FC5543" w:rsidRPr="00FC5543" w:rsidRDefault="00FC5543" w:rsidP="00FC5543">
      <w:r w:rsidRPr="00FC5543">
        <w:t xml:space="preserve">Coût du risque/portefeuille brut en hausse continue sur 3 exercices (2,58%→3,05%→3,77%). En situation provisoire à mai 2025, </w:t>
      </w:r>
      <w:r w:rsidRPr="00FC5543">
        <w:rPr>
          <w:b/>
          <w:bCs/>
        </w:rPr>
        <w:t xml:space="preserve">les trois seuils prudentiels PAR </w:t>
      </w:r>
      <w:proofErr w:type="spellStart"/>
      <w:r w:rsidRPr="00FC5543">
        <w:rPr>
          <w:b/>
          <w:bCs/>
        </w:rPr>
        <w:t>sont</w:t>
      </w:r>
      <w:proofErr w:type="spellEnd"/>
      <w:r w:rsidRPr="00FC5543">
        <w:rPr>
          <w:b/>
          <w:bCs/>
        </w:rPr>
        <w:t xml:space="preserve"> simultanément dépassés</w:t>
      </w:r>
      <w:r w:rsidRPr="00FC5543">
        <w:t xml:space="preserve"> : PAR30 = 5,40% (max 5%), PAR90 = 3,37% (max 3%), PAR180 = 2,60% (max 2%). Ce n'est pas un pic isolé mais une tendance confirmée sur plusieurs arrêtés — donc un risque structurel de détérioration du book. Le ticket moyen de prêt (~93 Mrds pour ~14 500 emprunteurs) suggère une concentration sur des montants plus élevés que le cœur de cible classique du micro-crédit. </w:t>
      </w:r>
      <w:r w:rsidRPr="00FC5543">
        <w:rPr>
          <w:b/>
          <w:bCs/>
        </w:rPr>
        <w:t>Le taux de couverture des risques par les provisions n'apparaît pas dans les documents transmis — point à demander impérativement</w:t>
      </w:r>
      <w:r w:rsidRPr="00FC5543">
        <w:t>, un PAR élevé mal provisionné amplifiant le risque de perte finale.</w:t>
      </w:r>
    </w:p>
    <w:p w14:paraId="5250EAB9" w14:textId="77777777" w:rsidR="00FC5543" w:rsidRPr="00FC5543" w:rsidRDefault="00FC5543" w:rsidP="00FC5543">
      <w:pPr>
        <w:rPr>
          <w:b/>
          <w:bCs/>
        </w:rPr>
      </w:pPr>
      <w:r w:rsidRPr="00FC5543">
        <w:rPr>
          <w:b/>
          <w:bCs/>
        </w:rPr>
        <w:t>2. Risque de transformation / liquidité</w:t>
      </w:r>
    </w:p>
    <w:p w14:paraId="05499F9D" w14:textId="77777777" w:rsidR="00FC5543" w:rsidRPr="00FC5543" w:rsidRDefault="00FC5543" w:rsidP="00FC5543">
      <w:r w:rsidRPr="00FC5543">
        <w:t>Les dépôts à vue et à moins d'un an (15-17% du passif, en progression) financent un portefeuille majoritairement à moyen terme. La couverture des emplois MLT par ressources stables recule (139%→134%→129%), restant au-dessus du minimum réglementaire (100%) mais avec une marge de sécurité qui se réduit.</w:t>
      </w:r>
    </w:p>
    <w:p w14:paraId="747D0CCB" w14:textId="77777777" w:rsidR="00FC5543" w:rsidRPr="00FC5543" w:rsidRDefault="00FC5543" w:rsidP="00FC5543">
      <w:pPr>
        <w:rPr>
          <w:b/>
          <w:bCs/>
        </w:rPr>
      </w:pPr>
      <w:r w:rsidRPr="00FC5543">
        <w:rPr>
          <w:b/>
          <w:bCs/>
        </w:rPr>
        <w:t>3. Risque de capitalisation</w:t>
      </w:r>
    </w:p>
    <w:p w14:paraId="7C60C1E0" w14:textId="77777777" w:rsidR="00FC5543" w:rsidRPr="00FC5543" w:rsidRDefault="00FC5543" w:rsidP="00FC5543">
      <w:r w:rsidRPr="00FC5543">
        <w:t>Ratio réglementaire conforme (16,7%→16,3%→16,9%, min. 15%) mais poids des fonds propres dans le bilan en recul (18%→17%). Avec un CNR qui progresse plus vite que le résultat, la capacité d'autofinancement des fonds propres s'affaiblit précisément au moment où le risque de crédit augmente — effet de ciseau à double niveau (rentabilité et capital).</w:t>
      </w:r>
    </w:p>
    <w:p w14:paraId="26FAB194" w14:textId="77777777" w:rsidR="00FC5543" w:rsidRPr="00FC5543" w:rsidRDefault="00FC5543" w:rsidP="00FC5543">
      <w:pPr>
        <w:rPr>
          <w:b/>
          <w:bCs/>
        </w:rPr>
      </w:pPr>
      <w:r w:rsidRPr="00FC5543">
        <w:rPr>
          <w:b/>
          <w:bCs/>
        </w:rPr>
        <w:t>4. Risque de rentabilité / soutenabilité du modèle</w:t>
      </w:r>
    </w:p>
    <w:p w14:paraId="7A7B3056" w14:textId="77777777" w:rsidR="00FC5543" w:rsidRPr="00FC5543" w:rsidRDefault="00FC5543" w:rsidP="00FC5543">
      <w:r w:rsidRPr="00FC5543">
        <w:t>Effet ciseau PNB/résultat net et ROA en baisse continue (cf. section II). Si la trajectoire se poursuit, la capacité de l'institution à autofinancer sa croissance sans recours à du capital externe est questionnée.</w:t>
      </w:r>
    </w:p>
    <w:p w14:paraId="62FA4E93" w14:textId="77777777" w:rsidR="00FC5543" w:rsidRPr="00FC5543" w:rsidRDefault="00FC5543" w:rsidP="00FC5543">
      <w:pPr>
        <w:rPr>
          <w:b/>
          <w:bCs/>
        </w:rPr>
      </w:pPr>
      <w:r w:rsidRPr="00FC5543">
        <w:rPr>
          <w:b/>
          <w:bCs/>
        </w:rPr>
        <w:lastRenderedPageBreak/>
        <w:t>5. Risque opérationnel / gouvernance</w:t>
      </w:r>
    </w:p>
    <w:p w14:paraId="37A536A5" w14:textId="77777777" w:rsidR="00FC5543" w:rsidRPr="00FC5543" w:rsidRDefault="00FC5543" w:rsidP="00FC5543">
      <w:r w:rsidRPr="00FC5543">
        <w:t xml:space="preserve">Ratios de concentration et gouvernance largement dans les limites (prêts dirigeants/personnes liées 1,9-2,3% vs max 10% ; risque signature unique &lt;2% vs max 10%) — risque faible en l'état. </w:t>
      </w:r>
      <w:r w:rsidRPr="00FC5543">
        <w:rPr>
          <w:b/>
          <w:bCs/>
        </w:rPr>
        <w:t>L'absence d'audit externe</w:t>
      </w:r>
      <w:r w:rsidRPr="00FC5543">
        <w:t xml:space="preserve"> ("Audité : NON" sur les trois exercices) est cependant un point structurant, limitant la fiabilité des chiffres transmis et donc la confiance à accorder à l'ensemble de l'analyse.</w:t>
      </w:r>
    </w:p>
    <w:p w14:paraId="582E183B" w14:textId="77777777" w:rsidR="00FC5543" w:rsidRPr="00FC5543" w:rsidRDefault="00FC5543" w:rsidP="00FC5543">
      <w:pPr>
        <w:rPr>
          <w:b/>
          <w:bCs/>
        </w:rPr>
      </w:pPr>
      <w:r w:rsidRPr="00FC5543">
        <w:rPr>
          <w:b/>
          <w:bCs/>
        </w:rPr>
        <w:t>6. Risque de qualité des données</w:t>
      </w:r>
    </w:p>
    <w:p w14:paraId="7B64636D" w14:textId="77777777" w:rsidR="00FC5543" w:rsidRPr="00FC5543" w:rsidRDefault="00FC5543" w:rsidP="00FC5543">
      <w:r w:rsidRPr="00FC5543">
        <w:t>Incohérence détectée dans le ratio d'abandon de créances 2025 (affiché -33,64%, variation -2237%), signe probable d'une erreur de formule dans le fichier source (</w:t>
      </w:r>
      <w:proofErr w:type="spellStart"/>
      <w:r w:rsidRPr="00FC5543">
        <w:t>Bilan_dev</w:t>
      </w:r>
      <w:proofErr w:type="spellEnd"/>
      <w:r w:rsidRPr="00FC5543">
        <w:t>/</w:t>
      </w:r>
      <w:proofErr w:type="spellStart"/>
      <w:r w:rsidRPr="00FC5543">
        <w:t>Synthèse_dev</w:t>
      </w:r>
      <w:proofErr w:type="spellEnd"/>
      <w:r w:rsidRPr="00FC5543">
        <w:t>) — à corriger avant transmission, et qui renforce la nécessité d'une vérification indépendante en l'absence d'audit.</w:t>
      </w:r>
    </w:p>
    <w:p w14:paraId="55473E30" w14:textId="77777777" w:rsidR="00FC5543" w:rsidRPr="00FC5543" w:rsidRDefault="00FC5543" w:rsidP="00FC5543">
      <w:r w:rsidRPr="00FC5543">
        <w:pict w14:anchorId="1B6B7427">
          <v:rect id="_x0000_i1058" style="width:0;height:1.5pt" o:hralign="center" o:hrstd="t" o:hr="t" fillcolor="#a0a0a0" stroked="f"/>
        </w:pict>
      </w:r>
    </w:p>
    <w:p w14:paraId="29299F5D" w14:textId="77777777" w:rsidR="00FC5543" w:rsidRPr="00FC5543" w:rsidRDefault="00FC5543" w:rsidP="00FC5543">
      <w:pPr>
        <w:rPr>
          <w:b/>
          <w:bCs/>
        </w:rPr>
      </w:pPr>
      <w:r w:rsidRPr="00FC5543">
        <w:rPr>
          <w:b/>
          <w:bCs/>
        </w:rPr>
        <w:t>IV. Synthèse et avis risque</w:t>
      </w:r>
    </w:p>
    <w:p w14:paraId="3CD38A27" w14:textId="77777777" w:rsidR="00FC5543" w:rsidRPr="00FC5543" w:rsidRDefault="00FC5543" w:rsidP="00FC5543">
      <w:r w:rsidRPr="00FC5543">
        <w:rPr>
          <w:b/>
          <w:bCs/>
        </w:rPr>
        <w:t>Forces</w:t>
      </w:r>
      <w:r w:rsidRPr="00FC5543">
        <w:t xml:space="preserve"> : croissance soutenue et financée sainement (dépôts &gt; dette institutionnelle), ratios de capitalisation et de liquidité réglementaires respectés, absence de risque de concentration ou de gouvernance.</w:t>
      </w:r>
    </w:p>
    <w:p w14:paraId="1A67CC11" w14:textId="77777777" w:rsidR="00FC5543" w:rsidRPr="00FC5543" w:rsidRDefault="00FC5543" w:rsidP="00FC5543">
      <w:r w:rsidRPr="00FC5543">
        <w:rPr>
          <w:b/>
          <w:bCs/>
        </w:rPr>
        <w:t>Hiérarchisation des risques</w:t>
      </w:r>
      <w:r w:rsidRPr="00FC5543">
        <w:t xml:space="preserve"> : le risque de crédit (PAR/CNR) est dominant et doit conditionner la décision de comité. Les risques de liquidité et de capitalisation sont secondaires mais à mettre sous surveillance rapprochée, car ils s'aggraveraient mécaniquement si la dégradation du portefeuille se poursuit.</w:t>
      </w:r>
    </w:p>
    <w:p w14:paraId="1B0C701C" w14:textId="77777777" w:rsidR="00FC5543" w:rsidRPr="00FC5543" w:rsidRDefault="00FC5543" w:rsidP="00FC5543">
      <w:r w:rsidRPr="00FC5543">
        <w:rPr>
          <w:b/>
          <w:bCs/>
        </w:rPr>
        <w:t>Recommandation</w:t>
      </w:r>
      <w:r w:rsidRPr="00FC5543">
        <w:t xml:space="preserve"> : conditionner tout engagement ou renouvellement à un plan d'action correctif d'</w:t>
      </w:r>
      <w:proofErr w:type="spellStart"/>
      <w:r w:rsidRPr="00FC5543">
        <w:t>Advans</w:t>
      </w:r>
      <w:proofErr w:type="spellEnd"/>
      <w:r w:rsidRPr="00FC5543">
        <w:t xml:space="preserve"> CI sur le PAR et le coût du risque, avec demande du taux de couverture des risques par les provisions, et suivi rapproché du ratio de capitalisation aux prochains arrêtés.</w:t>
      </w:r>
    </w:p>
    <w:p w14:paraId="4735A409" w14:textId="77777777" w:rsidR="00FC5543" w:rsidRPr="00FC5543" w:rsidRDefault="00FC5543" w:rsidP="00FC5543">
      <w:r w:rsidRPr="00FC5543">
        <w:pict w14:anchorId="0453AC20">
          <v:rect id="_x0000_i1059" style="width:0;height:1.5pt" o:hralign="center" o:hrstd="t" o:hr="t" fillcolor="#a0a0a0" stroked="f"/>
        </w:pict>
      </w:r>
    </w:p>
    <w:p w14:paraId="6FE2BA25" w14:textId="77777777" w:rsidR="00FC5543" w:rsidRPr="00FC5543" w:rsidRDefault="00FC5543" w:rsidP="00FC5543">
      <w:r w:rsidRPr="00FC5543">
        <w:t>Veux-tu que je mette cette version en forme dans un document Word prêt pour le comité ?</w:t>
      </w:r>
    </w:p>
    <w:p w14:paraId="680C0537" w14:textId="77777777" w:rsidR="00FC5543" w:rsidRPr="00FC5543" w:rsidRDefault="00FC5543" w:rsidP="00FC5543">
      <w:proofErr w:type="gramStart"/>
      <w:r w:rsidRPr="00FC5543">
        <w:t>en</w:t>
      </w:r>
      <w:proofErr w:type="gramEnd"/>
      <w:r w:rsidRPr="00FC5543">
        <w:t xml:space="preserve"> bloc de paragraphe</w:t>
      </w:r>
    </w:p>
    <w:p w14:paraId="3030FEDA" w14:textId="77777777" w:rsidR="00FC5543" w:rsidRPr="00FC5543" w:rsidRDefault="00FC5543" w:rsidP="00FC5543">
      <w:proofErr w:type="spellStart"/>
      <w:r w:rsidRPr="00FC5543">
        <w:t>Restructured</w:t>
      </w:r>
      <w:proofErr w:type="spellEnd"/>
      <w:r w:rsidRPr="00FC5543">
        <w:t xml:space="preserve"> </w:t>
      </w:r>
      <w:proofErr w:type="spellStart"/>
      <w:r w:rsidRPr="00FC5543">
        <w:t>response</w:t>
      </w:r>
      <w:proofErr w:type="spellEnd"/>
      <w:r w:rsidRPr="00FC5543">
        <w:t xml:space="preserve"> </w:t>
      </w:r>
      <w:proofErr w:type="spellStart"/>
      <w:r w:rsidRPr="00FC5543">
        <w:t>into</w:t>
      </w:r>
      <w:proofErr w:type="spellEnd"/>
      <w:r w:rsidRPr="00FC5543">
        <w:t xml:space="preserve"> </w:t>
      </w:r>
      <w:proofErr w:type="spellStart"/>
      <w:r w:rsidRPr="00FC5543">
        <w:t>flowing</w:t>
      </w:r>
      <w:proofErr w:type="spellEnd"/>
      <w:r w:rsidRPr="00FC5543">
        <w:t xml:space="preserve"> </w:t>
      </w:r>
      <w:proofErr w:type="spellStart"/>
      <w:r w:rsidRPr="00FC5543">
        <w:t>paragraphs</w:t>
      </w:r>
      <w:proofErr w:type="spellEnd"/>
      <w:r w:rsidRPr="00FC5543">
        <w:t xml:space="preserve"> </w:t>
      </w:r>
      <w:proofErr w:type="spellStart"/>
      <w:r w:rsidRPr="00FC5543">
        <w:t>maintaining</w:t>
      </w:r>
      <w:proofErr w:type="spellEnd"/>
      <w:r w:rsidRPr="00FC5543">
        <w:t xml:space="preserve"> </w:t>
      </w:r>
      <w:proofErr w:type="spellStart"/>
      <w:r w:rsidRPr="00FC5543">
        <w:t>clarity</w:t>
      </w:r>
      <w:proofErr w:type="spellEnd"/>
    </w:p>
    <w:p w14:paraId="62ADABF0" w14:textId="77777777" w:rsidR="00FC5543" w:rsidRPr="00FC5543" w:rsidRDefault="00FC5543" w:rsidP="00FC5543">
      <w:proofErr w:type="spellStart"/>
      <w:r w:rsidRPr="00FC5543">
        <w:t>Restructured</w:t>
      </w:r>
      <w:proofErr w:type="spellEnd"/>
      <w:r w:rsidRPr="00FC5543">
        <w:t xml:space="preserve"> </w:t>
      </w:r>
      <w:proofErr w:type="spellStart"/>
      <w:r w:rsidRPr="00FC5543">
        <w:t>response</w:t>
      </w:r>
      <w:proofErr w:type="spellEnd"/>
      <w:r w:rsidRPr="00FC5543">
        <w:t xml:space="preserve"> </w:t>
      </w:r>
      <w:proofErr w:type="spellStart"/>
      <w:r w:rsidRPr="00FC5543">
        <w:t>into</w:t>
      </w:r>
      <w:proofErr w:type="spellEnd"/>
      <w:r w:rsidRPr="00FC5543">
        <w:t xml:space="preserve"> </w:t>
      </w:r>
      <w:proofErr w:type="spellStart"/>
      <w:r w:rsidRPr="00FC5543">
        <w:t>flowing</w:t>
      </w:r>
      <w:proofErr w:type="spellEnd"/>
      <w:r w:rsidRPr="00FC5543">
        <w:t xml:space="preserve"> </w:t>
      </w:r>
      <w:proofErr w:type="spellStart"/>
      <w:r w:rsidRPr="00FC5543">
        <w:t>paragraphs</w:t>
      </w:r>
      <w:proofErr w:type="spellEnd"/>
      <w:r w:rsidRPr="00FC5543">
        <w:t xml:space="preserve"> </w:t>
      </w:r>
      <w:proofErr w:type="spellStart"/>
      <w:r w:rsidRPr="00FC5543">
        <w:t>maintaining</w:t>
      </w:r>
      <w:proofErr w:type="spellEnd"/>
      <w:r w:rsidRPr="00FC5543">
        <w:t xml:space="preserve"> </w:t>
      </w:r>
      <w:proofErr w:type="spellStart"/>
      <w:r w:rsidRPr="00FC5543">
        <w:t>clarity</w:t>
      </w:r>
      <w:proofErr w:type="spellEnd"/>
    </w:p>
    <w:p w14:paraId="3BA9FF9D" w14:textId="77777777" w:rsidR="00FC5543" w:rsidRPr="00FC5543" w:rsidRDefault="00FC5543" w:rsidP="00FC5543">
      <w:pPr>
        <w:rPr>
          <w:b/>
          <w:bCs/>
        </w:rPr>
      </w:pPr>
      <w:r w:rsidRPr="00FC5543">
        <w:rPr>
          <w:b/>
          <w:bCs/>
        </w:rPr>
        <w:t>Analyse Financière et Cartographie des Risques – ADVANS CI (IMF, zone UEMOA/OHADA, norme SYSCOHA, non auditée)</w:t>
      </w:r>
    </w:p>
    <w:p w14:paraId="03BFF352" w14:textId="77777777" w:rsidR="00FC5543" w:rsidRPr="00FC5543" w:rsidRDefault="00FC5543" w:rsidP="00FC5543">
      <w:r w:rsidRPr="00FC5543">
        <w:t>Le bilan d'</w:t>
      </w:r>
      <w:proofErr w:type="spellStart"/>
      <w:r w:rsidRPr="00FC5543">
        <w:t>Advans</w:t>
      </w:r>
      <w:proofErr w:type="spellEnd"/>
      <w:r w:rsidRPr="00FC5543">
        <w:t xml:space="preserve"> CI croît de 98,5 à 115,9 Mrds XOF sur 2023-2025 (+6% puis +11%), une accélération portée par le portefeuille de crédit qui passe de 86 à 100 Mrds (+5% puis +10%). L'élément notable n'est pas la croissance elle-même mais son mode de financement : les dépôts clientèle progressent de 71% à 76% du passif, tandis que les dettes envers institutions financières reculent en poids (6%→5%) et en valeur absolue en 2025 (-10%). </w:t>
      </w:r>
      <w:proofErr w:type="spellStart"/>
      <w:r w:rsidRPr="00FC5543">
        <w:t>Advans</w:t>
      </w:r>
      <w:proofErr w:type="spellEnd"/>
      <w:r w:rsidRPr="00FC5543">
        <w:t xml:space="preserve"> CI substitue donc progressivement du refinancement institutionnel par de la collecte propre, un mouvement structurellement positif en termes de coût de financement et de dépendance externe, mais qui interroge sur sa nature : choix stratégique de désintermédiation, ou contrainte d'accès aux lignes institutionnelles. Les fonds propres progressent en valeur absolue (18,0 à 20,0 Mrds) mais reculent en poids relatif dans le bilan (18%→17%), le total bilan croissant plus vite que l'accumulation de résultats, ce qui constitue un premier point de vigilance sur la capacité future d'absorption de croissance.</w:t>
      </w:r>
    </w:p>
    <w:p w14:paraId="75E636A0" w14:textId="77777777" w:rsidR="00FC5543" w:rsidRPr="00FC5543" w:rsidRDefault="00FC5543" w:rsidP="00FC5543">
      <w:r w:rsidRPr="00FC5543">
        <w:lastRenderedPageBreak/>
        <w:t>Sur le plan de la rentabilité, le PNB progresse en cohérence avec l'activité (+6%, +11%), mais le résultat net régresse sur la même période (-29% en 2024, -5% en 2025), un effet ciseau qui s'installe durablement. Le coefficient d'exploitation reste stable (71%→72%→70%), ce qui écarte les charges de structure comme facteur explicatif de cette dégradation. C'est le coût net du risque qui tire la rentabilité vers le bas, progressant nettement plus vite que le PNB et le portefeuille (+25% puis +36%, contre +6%/+11% et +5%/+10% respectivement). Le ROA (13%→9%→8%) et le ratio Résultat net/PNB (16%→11%→9%) confirment un effritement structurel, et non conjoncturel, de la rentabilité, directement corrélé à la détérioration du risque de crédit plutôt qu'à un problème de gestion des charges.</w:t>
      </w:r>
    </w:p>
    <w:p w14:paraId="1BCA8DEA" w14:textId="77777777" w:rsidR="00FC5543" w:rsidRPr="00FC5543" w:rsidRDefault="00FC5543" w:rsidP="00FC5543">
      <w:r w:rsidRPr="00FC5543">
        <w:t>Le risque de crédit constitue le point central de ce dossier. Le coût du risque rapporté au portefeuille brut augmente de façon continue sur trois exercices (2,58%→3,05%→3,77%), et la situation provisoire à mai 2025 montre que les trois seuils prudentiels de qualité de portefeuille sont simultanément dépassés : PAR30 à 5,40% contre un maximum de 5%, PAR90 à 3,37% contre un maximum de 3%, et PAR180 à 2,60% contre un maximum de 2%. Il ne s'agit pas d'un pic isolé mais d'une tendance confirmée sur plusieurs arrêtés, ce qui traduit un risque structurel de détérioration du portefeuille. Le ticket moyen de prêt, autour de 93 Mrds pour environ 14 500 emprunteurs, suggère par ailleurs une concentration sur des montants plus élevés que le cœur de cible habituel de la microfinance, ce qui peut amplifier l'impact d'un nombre limité de défauts. Le taux de couverture des risques par les provisions n'apparaît dans aucun des documents transmis, ce qui constitue une information à demander impérativement avant de finaliser l'avis, un PAR élevé mal provisionné pouvant considérablement amplifier le risque de perte finale.</w:t>
      </w:r>
    </w:p>
    <w:p w14:paraId="44B3122A" w14:textId="77777777" w:rsidR="00FC5543" w:rsidRPr="00FC5543" w:rsidRDefault="00FC5543" w:rsidP="00FC5543">
      <w:r w:rsidRPr="00FC5543">
        <w:t>À ce risque de crédit s'ajoutent des risques secondaires à surveiller. Le risque de transformation se matérialise par une part croissante de dépôts à vue et à moins d'un an (15% à 17% du passif) qui financent un portefeuille majoritairement à moyen terme ; la couverture des emplois à moyen et long terme par des ressources stables recule sur la période (139%→134%→129%), restant certes au-dessus du minimum réglementaire de 100%, mais avec une marge de sécurité qui se réduit progressivement. Le risque de capitalisation reste contenu du point de vue réglementaire, le ratio de capitalisation demeurant conforme au minimum de 15% (16,7%→16,3%→16,9%), mais le poids des fonds propres dans le bilan recule et, combiné à la hausse du coût du risque, la capacité d'autofinancement des fonds propres par mise en réserve du résultat s'affaiblit précisément au moment où le risque de crédit augmente, créant un effet de ciseau à double niveau entre rentabilité et capital. Le risque opérationnel et de gouvernance apparaît en revanche limité, les ratios de concentration restant largement dans les limites réglementaires (prêts aux dirigeants et personnes liées entre 1,9% et 2,3% pour un maximum de 10%, risque sur signature unique sous 2% pour un maximum de 10%). Un point structurant demeure toutefois l'absence d'audit externe sur les trois exercices présentés, ce qui limite la fiabilité des chiffres transmis et doit être signalé comme une réserve méthodologique en comité, indépendamment de la qualité apparente des ratios calculés. Une incohérence a par ailleurs été identifiée dans le calcul du ratio d'abandon de créances pour 2025, affiché à -33,64% avec une variation de -2237%, ce qui semble résulter d'une erreur de formule dans le fichier source et renforce la nécessité d'une vérification indépendante des données en l'absence d'audit.</w:t>
      </w:r>
    </w:p>
    <w:p w14:paraId="24CCAC07" w14:textId="77777777" w:rsidR="00FC5543" w:rsidRPr="00FC5543" w:rsidRDefault="00FC5543" w:rsidP="00FC5543">
      <w:r w:rsidRPr="00FC5543">
        <w:t xml:space="preserve">En synthèse, </w:t>
      </w:r>
      <w:proofErr w:type="spellStart"/>
      <w:r w:rsidRPr="00FC5543">
        <w:t>Advans</w:t>
      </w:r>
      <w:proofErr w:type="spellEnd"/>
      <w:r w:rsidRPr="00FC5543">
        <w:t xml:space="preserve"> CI présente une croissance soutenue et financée de manière saine, avec une part croissante de dépôts clientèle au détriment du refinancement institutionnel, ainsi que des ratios de capitalisation, de liquidité et de gouvernance globalement conformes aux exigences réglementaires. Le risque dominant du dossier reste néanmoins le risque de crédit, matérialisé par le dépassement simultané des trois seuils PAR et par une hausse continue du coût du risque qui </w:t>
      </w:r>
      <w:r w:rsidRPr="00FC5543">
        <w:lastRenderedPageBreak/>
        <w:t>explique à elle seule la dégradation de la rentabilité malgré une activité en croissance. Les risques de liquidité et de capitalisation, bien que non critiques en l'état, sont à mettre sous surveillance rapprochée car ils s'aggraveraient mécaniquement si la détérioration du portefeuille se poursuivait. Il est recommandé de conditionner tout engagement ou renouvellement à un plan d'action correctif d'</w:t>
      </w:r>
      <w:proofErr w:type="spellStart"/>
      <w:r w:rsidRPr="00FC5543">
        <w:t>Advans</w:t>
      </w:r>
      <w:proofErr w:type="spellEnd"/>
      <w:r w:rsidRPr="00FC5543">
        <w:t xml:space="preserve"> CI sur le PAR et le coût du risque, d'obtenir le taux de couverture des risques par les provisions avant décision finale, et d'assurer un suivi rapproché du ratio de capitalisation aux prochains arrêtés.</w:t>
      </w:r>
    </w:p>
    <w:p w14:paraId="5AF0490E" w14:textId="77777777" w:rsidR="00FC5543" w:rsidRPr="00FC5543" w:rsidRDefault="00FC5543" w:rsidP="00FC5543">
      <w:proofErr w:type="spellStart"/>
      <w:proofErr w:type="gramStart"/>
      <w:r w:rsidRPr="00FC5543">
        <w:t>sinthetise</w:t>
      </w:r>
      <w:proofErr w:type="spellEnd"/>
      <w:proofErr w:type="gramEnd"/>
      <w:r w:rsidRPr="00FC5543">
        <w:t xml:space="preserve"> tout en </w:t>
      </w:r>
      <w:proofErr w:type="spellStart"/>
      <w:r w:rsidRPr="00FC5543">
        <w:t>gardand</w:t>
      </w:r>
      <w:proofErr w:type="spellEnd"/>
      <w:r w:rsidRPr="00FC5543">
        <w:t xml:space="preserve"> </w:t>
      </w:r>
      <w:proofErr w:type="gramStart"/>
      <w:r w:rsidRPr="00FC5543">
        <w:t>les élément percutant</w:t>
      </w:r>
      <w:proofErr w:type="gramEnd"/>
    </w:p>
    <w:p w14:paraId="4F2F86FC" w14:textId="77777777" w:rsidR="00FC5543" w:rsidRPr="00FC5543" w:rsidRDefault="00FC5543" w:rsidP="00FC5543">
      <w:pPr>
        <w:rPr>
          <w:b/>
          <w:bCs/>
        </w:rPr>
      </w:pPr>
      <w:r w:rsidRPr="00FC5543">
        <w:rPr>
          <w:b/>
          <w:bCs/>
        </w:rPr>
        <w:t>Synthèse Risque Crédit – ADVANS CI (IMF, UEMOA/OHADA, SYSCOHA, non auditée)</w:t>
      </w:r>
    </w:p>
    <w:p w14:paraId="6D5A56C6" w14:textId="77777777" w:rsidR="00FC5543" w:rsidRPr="00FC5543" w:rsidRDefault="00FC5543" w:rsidP="00FC5543">
      <w:r w:rsidRPr="00FC5543">
        <w:t>Le bilan d'</w:t>
      </w:r>
      <w:proofErr w:type="spellStart"/>
      <w:r w:rsidRPr="00FC5543">
        <w:t>Advans</w:t>
      </w:r>
      <w:proofErr w:type="spellEnd"/>
      <w:r w:rsidRPr="00FC5543">
        <w:t xml:space="preserve"> CI croît de 98,5 à 115,9 Mrds XOF sur 2023-2025 (+6%, +11%), une expansion financée de manière saine par une montée des dépôts clientèle (71%→76% du passif) au détriment de la dette institutionnelle, mais dont les fonds propres relatifs reculent (18%→17%), signe que la croissance du bilan dépasse celle de l'accumulation de résultats.</w:t>
      </w:r>
    </w:p>
    <w:p w14:paraId="3DBFD2FB" w14:textId="77777777" w:rsidR="00FC5543" w:rsidRPr="00FC5543" w:rsidRDefault="00FC5543" w:rsidP="00FC5543">
      <w:r w:rsidRPr="00FC5543">
        <w:t xml:space="preserve">Le signal le plus préoccupant est l'effet ciseau entre activité et rentabilité : le PNB progresse (+6%, +11%) mais le résultat net </w:t>
      </w:r>
      <w:proofErr w:type="spellStart"/>
      <w:r w:rsidRPr="00FC5543">
        <w:t>recule</w:t>
      </w:r>
      <w:proofErr w:type="spellEnd"/>
      <w:r w:rsidRPr="00FC5543">
        <w:t xml:space="preserve"> (-29%, -5%), entièrement imputable au coût net du risque qui croît beaucoup plus vite que le portefeuille (+25%, +36% contre +5%, +10%). Le ROA s'effondre en conséquence (13%→9%→8%).</w:t>
      </w:r>
    </w:p>
    <w:p w14:paraId="030DB424" w14:textId="77777777" w:rsidR="00FC5543" w:rsidRPr="00FC5543" w:rsidRDefault="00FC5543" w:rsidP="00FC5543">
      <w:r w:rsidRPr="00FC5543">
        <w:rPr>
          <w:b/>
          <w:bCs/>
        </w:rPr>
        <w:t>Le risque de crédit est le point central du dossier</w:t>
      </w:r>
      <w:r w:rsidRPr="00FC5543">
        <w:t xml:space="preserve"> : les trois seuils prudentiels PAR </w:t>
      </w:r>
      <w:proofErr w:type="spellStart"/>
      <w:r w:rsidRPr="00FC5543">
        <w:t>sont</w:t>
      </w:r>
      <w:proofErr w:type="spellEnd"/>
      <w:r w:rsidRPr="00FC5543">
        <w:t xml:space="preserve"> simultanément dépassés à mai 2025 — PAR30 5,40% (max 5%), PAR90 3,37% (max 3%), PAR180 2,60% (max 2%) — sur une tendance confirmée depuis 2023, pas un pic isolé. Le taux de couverture des risques par les provisions est absent des documents transmis : </w:t>
      </w:r>
      <w:r w:rsidRPr="00FC5543">
        <w:rPr>
          <w:b/>
          <w:bCs/>
        </w:rPr>
        <w:t>donnée à exiger avant tout avis</w:t>
      </w:r>
      <w:r w:rsidRPr="00FC5543">
        <w:t>.</w:t>
      </w:r>
    </w:p>
    <w:p w14:paraId="3FC46B19" w14:textId="77777777" w:rsidR="00FC5543" w:rsidRPr="00FC5543" w:rsidRDefault="00FC5543" w:rsidP="00FC5543">
      <w:r w:rsidRPr="00FC5543">
        <w:t>Risques secondaires à surveiller sans caractère critique immédiat : couverture des emplois MLT par ressources stables en recul mais toujours &gt;100% (139%→129%) ; ratio de capitalisation conforme (16,7%→16,9%, min 15%) mais fragilisé par la baisse de rentabilité ; absence d'audit externe sur les 3 exercices, qui limite la fiabilité globale des chiffres ; incohérence de calcul détectée sur le ratio d'abandon de créances 2025 (-33,64%), probable erreur de formule à corriger.</w:t>
      </w:r>
    </w:p>
    <w:p w14:paraId="6D4D6364" w14:textId="77777777" w:rsidR="00FC5543" w:rsidRPr="00FC5543" w:rsidRDefault="00FC5543" w:rsidP="00FC5543">
      <w:r w:rsidRPr="00FC5543">
        <w:rPr>
          <w:b/>
          <w:bCs/>
        </w:rPr>
        <w:t>Avis</w:t>
      </w:r>
      <w:r w:rsidRPr="00FC5543">
        <w:t xml:space="preserve"> : dossier à conditionner à un plan d'action correctif sur le PAR et le coût du risque, à l'obtention du taux de couverture des provisions, et à un suivi rapproché de la capitalisation aux prochains arrêtés.</w:t>
      </w:r>
    </w:p>
    <w:p w14:paraId="4CEAE4D8" w14:textId="77777777" w:rsidR="00FC5543" w:rsidRPr="00FC5543" w:rsidRDefault="00FC5543" w:rsidP="00FC5543">
      <w:proofErr w:type="gramStart"/>
      <w:r w:rsidRPr="00FC5543">
        <w:t>des</w:t>
      </w:r>
      <w:proofErr w:type="gramEnd"/>
      <w:r w:rsidRPr="00FC5543">
        <w:t xml:space="preserve"> questions à poser au chargé d'affaires ?</w:t>
      </w:r>
    </w:p>
    <w:p w14:paraId="6A5A1380" w14:textId="77777777" w:rsidR="00FC5543" w:rsidRPr="00FC5543" w:rsidRDefault="00FC5543" w:rsidP="00FC5543">
      <w:r w:rsidRPr="00FC5543">
        <w:t>Identifié les lacunes et formulé questions ciblées</w:t>
      </w:r>
    </w:p>
    <w:p w14:paraId="1CAAF7F5" w14:textId="77777777" w:rsidR="00FC5543" w:rsidRPr="00FC5543" w:rsidRDefault="00FC5543" w:rsidP="00FC5543">
      <w:r w:rsidRPr="00FC5543">
        <w:t>Identifié les lacunes et formulé questions ciblées</w:t>
      </w:r>
    </w:p>
    <w:p w14:paraId="65F73F67" w14:textId="77777777" w:rsidR="00FC5543" w:rsidRPr="00FC5543" w:rsidRDefault="00FC5543" w:rsidP="00FC5543">
      <w:pPr>
        <w:rPr>
          <w:b/>
          <w:bCs/>
        </w:rPr>
      </w:pPr>
      <w:r w:rsidRPr="00FC5543">
        <w:rPr>
          <w:b/>
          <w:bCs/>
        </w:rPr>
        <w:t>Questions à poser au Chargé d'Affaires – Dossier ADVANS CI</w:t>
      </w:r>
    </w:p>
    <w:p w14:paraId="5948449C" w14:textId="77777777" w:rsidR="00FC5543" w:rsidRPr="00FC5543" w:rsidRDefault="00FC5543" w:rsidP="00FC5543">
      <w:pPr>
        <w:rPr>
          <w:b/>
          <w:bCs/>
        </w:rPr>
      </w:pPr>
      <w:r w:rsidRPr="00FC5543">
        <w:rPr>
          <w:b/>
          <w:bCs/>
        </w:rPr>
        <w:t>Sur la qualité du portefeuille et le provisionnement</w:t>
      </w:r>
    </w:p>
    <w:p w14:paraId="447CE79E" w14:textId="77777777" w:rsidR="00FC5543" w:rsidRPr="00FC5543" w:rsidRDefault="00FC5543" w:rsidP="00FC5543">
      <w:pPr>
        <w:numPr>
          <w:ilvl w:val="0"/>
          <w:numId w:val="4"/>
        </w:numPr>
      </w:pPr>
      <w:r w:rsidRPr="00FC5543">
        <w:t>Quel est le taux de couverture des risques par les provisions (provisions/PAR30 et PAR90) ? Cette donnée est absente des documents transmis et conditionne l'appréciation réelle du risque net.</w:t>
      </w:r>
    </w:p>
    <w:p w14:paraId="06CE752A" w14:textId="77777777" w:rsidR="00FC5543" w:rsidRPr="00FC5543" w:rsidRDefault="00FC5543" w:rsidP="00FC5543">
      <w:pPr>
        <w:numPr>
          <w:ilvl w:val="0"/>
          <w:numId w:val="4"/>
        </w:numPr>
      </w:pPr>
      <w:r w:rsidRPr="00FC5543">
        <w:t>Quelle est la répartition sectorielle et géographique du portefeuille en souffrance ? Y a-t-il une concentration sur certaines agences, filières ou types de clientèle ?</w:t>
      </w:r>
    </w:p>
    <w:p w14:paraId="39717ACA" w14:textId="77777777" w:rsidR="00FC5543" w:rsidRPr="00FC5543" w:rsidRDefault="00FC5543" w:rsidP="00FC5543">
      <w:pPr>
        <w:numPr>
          <w:ilvl w:val="0"/>
          <w:numId w:val="4"/>
        </w:numPr>
      </w:pPr>
      <w:r w:rsidRPr="00FC5543">
        <w:lastRenderedPageBreak/>
        <w:t>Le ticket moyen élevé (~93 Mrds pour ~14 500 emprunteurs) correspond-il à une évolution de cible clientèle (montée en gamme vers du PME/TPE) ou à une dérive du modèle initial de microfinance ?</w:t>
      </w:r>
    </w:p>
    <w:p w14:paraId="51806981" w14:textId="77777777" w:rsidR="00FC5543" w:rsidRPr="00FC5543" w:rsidRDefault="00FC5543" w:rsidP="00FC5543">
      <w:pPr>
        <w:numPr>
          <w:ilvl w:val="0"/>
          <w:numId w:val="4"/>
        </w:numPr>
      </w:pPr>
      <w:r w:rsidRPr="00FC5543">
        <w:t>Quelle est la tendance du PAR mois par mois depuis mai 2025 (dernière situation provisoire) ? La dégradation se poursuit-elle, se stabilise-t-elle, ou une reprise en main est-elle déjà visible ?</w:t>
      </w:r>
    </w:p>
    <w:p w14:paraId="465C56B3" w14:textId="77777777" w:rsidR="00FC5543" w:rsidRPr="00FC5543" w:rsidRDefault="00FC5543" w:rsidP="00FC5543">
      <w:pPr>
        <w:numPr>
          <w:ilvl w:val="0"/>
          <w:numId w:val="4"/>
        </w:numPr>
      </w:pPr>
      <w:r w:rsidRPr="00FC5543">
        <w:t xml:space="preserve">Quelles sont les mesures correctives déjà engagées par </w:t>
      </w:r>
      <w:proofErr w:type="spellStart"/>
      <w:r w:rsidRPr="00FC5543">
        <w:t>Advans</w:t>
      </w:r>
      <w:proofErr w:type="spellEnd"/>
      <w:r w:rsidRPr="00FC5543">
        <w:t xml:space="preserve"> CI (recouvrement, restructuration, durcissement de l'octroi) et depuis quand ?</w:t>
      </w:r>
    </w:p>
    <w:p w14:paraId="5F76ECE3" w14:textId="77777777" w:rsidR="00FC5543" w:rsidRPr="00FC5543" w:rsidRDefault="00FC5543" w:rsidP="00FC5543">
      <w:pPr>
        <w:rPr>
          <w:b/>
          <w:bCs/>
        </w:rPr>
      </w:pPr>
      <w:r w:rsidRPr="00FC5543">
        <w:rPr>
          <w:b/>
          <w:bCs/>
        </w:rPr>
        <w:t>Sur la gouvernance et la fiabilité des données</w:t>
      </w:r>
    </w:p>
    <w:p w14:paraId="706AB4D3" w14:textId="77777777" w:rsidR="00FC5543" w:rsidRPr="00FC5543" w:rsidRDefault="00FC5543" w:rsidP="00FC5543">
      <w:pPr>
        <w:numPr>
          <w:ilvl w:val="0"/>
          <w:numId w:val="5"/>
        </w:numPr>
      </w:pPr>
      <w:r w:rsidRPr="00FC5543">
        <w:t>Pourquoi l'institution n'est-elle pas auditée sur les trois derniers exercices ? Un audit est-il prévu à court terme, et par quel cabinet ?</w:t>
      </w:r>
    </w:p>
    <w:p w14:paraId="48A8063A" w14:textId="77777777" w:rsidR="00FC5543" w:rsidRPr="00FC5543" w:rsidRDefault="00FC5543" w:rsidP="00FC5543">
      <w:pPr>
        <w:numPr>
          <w:ilvl w:val="0"/>
          <w:numId w:val="5"/>
        </w:numPr>
      </w:pPr>
      <w:r w:rsidRPr="00FC5543">
        <w:t>Peut-on obtenir une clarification sur le ratio d'abandon de créances 2025 affiché à -33,64% (variation -2237%), qui semble résulter d'une erreur de formule dans le fichier transmis ?</w:t>
      </w:r>
    </w:p>
    <w:p w14:paraId="7103B768" w14:textId="77777777" w:rsidR="00FC5543" w:rsidRPr="00FC5543" w:rsidRDefault="00FC5543" w:rsidP="00FC5543">
      <w:pPr>
        <w:numPr>
          <w:ilvl w:val="0"/>
          <w:numId w:val="5"/>
        </w:numPr>
      </w:pPr>
      <w:r w:rsidRPr="00FC5543">
        <w:t>Existe-t-il un rapport de contrôle interne ou d'inspection BCEAO récent sur cette institution ?</w:t>
      </w:r>
    </w:p>
    <w:p w14:paraId="36A016E7" w14:textId="77777777" w:rsidR="00FC5543" w:rsidRPr="00FC5543" w:rsidRDefault="00FC5543" w:rsidP="00FC5543">
      <w:pPr>
        <w:rPr>
          <w:b/>
          <w:bCs/>
        </w:rPr>
      </w:pPr>
      <w:r w:rsidRPr="00FC5543">
        <w:rPr>
          <w:b/>
          <w:bCs/>
        </w:rPr>
        <w:t>Sur la structure financière et la stratégie</w:t>
      </w:r>
    </w:p>
    <w:p w14:paraId="369B7B27" w14:textId="77777777" w:rsidR="00FC5543" w:rsidRPr="00FC5543" w:rsidRDefault="00FC5543" w:rsidP="00FC5543">
      <w:pPr>
        <w:numPr>
          <w:ilvl w:val="0"/>
          <w:numId w:val="6"/>
        </w:numPr>
      </w:pPr>
      <w:r w:rsidRPr="00FC5543">
        <w:t>La baisse de la dette envers les institutions financières (-10% en 2025) est-elle un choix stratégique de désintermédiation, ou reflète-t-elle une difficulté d'accès à de nouvelles lignes de refinancement (dont potentiellement la nôtre) ?</w:t>
      </w:r>
    </w:p>
    <w:p w14:paraId="05D05BD7" w14:textId="77777777" w:rsidR="00FC5543" w:rsidRPr="00FC5543" w:rsidRDefault="00FC5543" w:rsidP="00FC5543">
      <w:pPr>
        <w:numPr>
          <w:ilvl w:val="0"/>
          <w:numId w:val="6"/>
        </w:numPr>
      </w:pPr>
      <w:r w:rsidRPr="00FC5543">
        <w:t>Quelle est la stratégie de renforcement des fonds propres envisagée, sachant que leur poids relatif dans le bilan recule (18%→17%) malgré une capitalisation réglementaire encore conforme ?</w:t>
      </w:r>
    </w:p>
    <w:p w14:paraId="25600453" w14:textId="77777777" w:rsidR="00FC5543" w:rsidRPr="00FC5543" w:rsidRDefault="00FC5543" w:rsidP="00FC5543">
      <w:pPr>
        <w:numPr>
          <w:ilvl w:val="0"/>
          <w:numId w:val="6"/>
        </w:numPr>
      </w:pPr>
      <w:r w:rsidRPr="00FC5543">
        <w:t>Quelle est la politique de gestion actif-passif face au recul de la couverture des emplois MLT par ressources stables (139%→129%) ? Un risque de transformation est-il anticipé si la croissance du crédit se poursuit au même rythme ?</w:t>
      </w:r>
    </w:p>
    <w:p w14:paraId="6F92A6FC" w14:textId="77777777" w:rsidR="00FC5543" w:rsidRPr="00FC5543" w:rsidRDefault="00FC5543" w:rsidP="00FC5543">
      <w:pPr>
        <w:rPr>
          <w:b/>
          <w:bCs/>
        </w:rPr>
      </w:pPr>
      <w:r w:rsidRPr="00FC5543">
        <w:rPr>
          <w:b/>
          <w:bCs/>
        </w:rPr>
        <w:t>Sur la demande en cours (si renouvellement/nouvel engagement)</w:t>
      </w:r>
    </w:p>
    <w:p w14:paraId="681D12A5" w14:textId="77777777" w:rsidR="00FC5543" w:rsidRPr="00FC5543" w:rsidRDefault="00FC5543" w:rsidP="00FC5543">
      <w:pPr>
        <w:numPr>
          <w:ilvl w:val="0"/>
          <w:numId w:val="7"/>
        </w:numPr>
      </w:pPr>
      <w:r w:rsidRPr="00FC5543">
        <w:t>Quel est l'objet précis de la sollicitation actuelle et comment s'articule-t-elle avec le plan de redressement du PAR ?</w:t>
      </w:r>
    </w:p>
    <w:p w14:paraId="3E6142F2" w14:textId="77777777" w:rsidR="00FC5543" w:rsidRPr="00FC5543" w:rsidRDefault="00FC5543" w:rsidP="00FC5543">
      <w:pPr>
        <w:numPr>
          <w:ilvl w:val="0"/>
          <w:numId w:val="7"/>
        </w:numPr>
      </w:pPr>
      <w:r w:rsidRPr="00FC5543">
        <w:t xml:space="preserve">Des covenants ou </w:t>
      </w:r>
      <w:proofErr w:type="spellStart"/>
      <w:r w:rsidRPr="00FC5543">
        <w:t>reportings</w:t>
      </w:r>
      <w:proofErr w:type="spellEnd"/>
      <w:r w:rsidRPr="00FC5543">
        <w:t xml:space="preserve"> renforcés (PAR, couverture provisions) peuvent-ils être proposés à l'institution en contrepartie de l'engagement ?</w:t>
      </w:r>
    </w:p>
    <w:p w14:paraId="3452132F" w14:textId="77777777" w:rsidR="00FC5543" w:rsidRPr="00FC5543" w:rsidRDefault="00FC5543" w:rsidP="00FC5543">
      <w:r w:rsidRPr="00FC5543">
        <w:t>Veux-tu que j'intègre cette liste de questions à la suite de la synthèse dans le document final pour le comité ?</w:t>
      </w:r>
    </w:p>
    <w:p w14:paraId="6427A3FC" w14:textId="77777777" w:rsidR="00EE7C79" w:rsidRDefault="00EE7C79"/>
    <w:sectPr w:rsidR="00EE7C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3F10"/>
    <w:multiLevelType w:val="multilevel"/>
    <w:tmpl w:val="EEA48EE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D977D2"/>
    <w:multiLevelType w:val="multilevel"/>
    <w:tmpl w:val="16E803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8B002C"/>
    <w:multiLevelType w:val="multilevel"/>
    <w:tmpl w:val="A44C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24C3C"/>
    <w:multiLevelType w:val="multilevel"/>
    <w:tmpl w:val="B06A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872D1F"/>
    <w:multiLevelType w:val="multilevel"/>
    <w:tmpl w:val="721AE48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6F1E48"/>
    <w:multiLevelType w:val="multilevel"/>
    <w:tmpl w:val="B7F6F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CA59EB"/>
    <w:multiLevelType w:val="multilevel"/>
    <w:tmpl w:val="9356D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0362290">
    <w:abstractNumId w:val="3"/>
  </w:num>
  <w:num w:numId="2" w16cid:durableId="261888361">
    <w:abstractNumId w:val="2"/>
  </w:num>
  <w:num w:numId="3" w16cid:durableId="218178731">
    <w:abstractNumId w:val="6"/>
  </w:num>
  <w:num w:numId="4" w16cid:durableId="1348216687">
    <w:abstractNumId w:val="5"/>
  </w:num>
  <w:num w:numId="5" w16cid:durableId="1253662305">
    <w:abstractNumId w:val="1"/>
  </w:num>
  <w:num w:numId="6" w16cid:durableId="1610507714">
    <w:abstractNumId w:val="4"/>
  </w:num>
  <w:num w:numId="7" w16cid:durableId="99768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543"/>
    <w:rsid w:val="0054468F"/>
    <w:rsid w:val="00C52B6F"/>
    <w:rsid w:val="00EE7C79"/>
    <w:rsid w:val="00FC55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3C006"/>
  <w15:chartTrackingRefBased/>
  <w15:docId w15:val="{F2226B70-A4BE-471F-9015-6180C17DE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C55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C55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C554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C554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C554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C554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C554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C554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C554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C554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C554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C554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C554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C554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C554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C554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C554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C5543"/>
    <w:rPr>
      <w:rFonts w:eastAsiaTheme="majorEastAsia" w:cstheme="majorBidi"/>
      <w:color w:val="272727" w:themeColor="text1" w:themeTint="D8"/>
    </w:rPr>
  </w:style>
  <w:style w:type="paragraph" w:styleId="Titre">
    <w:name w:val="Title"/>
    <w:basedOn w:val="Normal"/>
    <w:next w:val="Normal"/>
    <w:link w:val="TitreCar"/>
    <w:uiPriority w:val="10"/>
    <w:qFormat/>
    <w:rsid w:val="00FC5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C554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C554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C554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C5543"/>
    <w:pPr>
      <w:spacing w:before="160"/>
      <w:jc w:val="center"/>
    </w:pPr>
    <w:rPr>
      <w:i/>
      <w:iCs/>
      <w:color w:val="404040" w:themeColor="text1" w:themeTint="BF"/>
    </w:rPr>
  </w:style>
  <w:style w:type="character" w:customStyle="1" w:styleId="CitationCar">
    <w:name w:val="Citation Car"/>
    <w:basedOn w:val="Policepardfaut"/>
    <w:link w:val="Citation"/>
    <w:uiPriority w:val="29"/>
    <w:rsid w:val="00FC5543"/>
    <w:rPr>
      <w:i/>
      <w:iCs/>
      <w:color w:val="404040" w:themeColor="text1" w:themeTint="BF"/>
    </w:rPr>
  </w:style>
  <w:style w:type="paragraph" w:styleId="Paragraphedeliste">
    <w:name w:val="List Paragraph"/>
    <w:basedOn w:val="Normal"/>
    <w:uiPriority w:val="34"/>
    <w:qFormat/>
    <w:rsid w:val="00FC5543"/>
    <w:pPr>
      <w:ind w:left="720"/>
      <w:contextualSpacing/>
    </w:pPr>
  </w:style>
  <w:style w:type="character" w:styleId="Accentuationintense">
    <w:name w:val="Intense Emphasis"/>
    <w:basedOn w:val="Policepardfaut"/>
    <w:uiPriority w:val="21"/>
    <w:qFormat/>
    <w:rsid w:val="00FC5543"/>
    <w:rPr>
      <w:i/>
      <w:iCs/>
      <w:color w:val="2F5496" w:themeColor="accent1" w:themeShade="BF"/>
    </w:rPr>
  </w:style>
  <w:style w:type="paragraph" w:styleId="Citationintense">
    <w:name w:val="Intense Quote"/>
    <w:basedOn w:val="Normal"/>
    <w:next w:val="Normal"/>
    <w:link w:val="CitationintenseCar"/>
    <w:uiPriority w:val="30"/>
    <w:qFormat/>
    <w:rsid w:val="00FC55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C5543"/>
    <w:rPr>
      <w:i/>
      <w:iCs/>
      <w:color w:val="2F5496" w:themeColor="accent1" w:themeShade="BF"/>
    </w:rPr>
  </w:style>
  <w:style w:type="character" w:styleId="Rfrenceintense">
    <w:name w:val="Intense Reference"/>
    <w:basedOn w:val="Policepardfaut"/>
    <w:uiPriority w:val="32"/>
    <w:qFormat/>
    <w:rsid w:val="00FC55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3286</Words>
  <Characters>18079</Characters>
  <Application>Microsoft Office Word</Application>
  <DocSecurity>0</DocSecurity>
  <Lines>150</Lines>
  <Paragraphs>42</Paragraphs>
  <ScaleCrop>false</ScaleCrop>
  <Company/>
  <LinksUpToDate>false</LinksUpToDate>
  <CharactersWithSpaces>21323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marvin womblegnon</dc:creator>
  <cp:keywords/>
  <dc:description/>
  <cp:lastModifiedBy>marvin womblegnon</cp:lastModifiedBy>
  <cp:revision>1</cp:revision>
  <dcterms:created xsi:type="dcterms:W3CDTF">2026-07-10T09:29:00Z</dcterms:created>
  <dcterms:modified xsi:type="dcterms:W3CDTF">2026-07-10T09:32:00Z</dcterms:modified>
</cp:coreProperties>
</file>