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66666"/>
          <w:sz w:val="18"/>
          <w:szCs w:val="18"/>
        </w:rPr>
        <w:t xml:space="preserve">SOCIÉTÉ GÉNÉRALE CÔTE D'IVOIRE — DIRECTION DES RISQUES DE CRÉDIT</w:t>
      </w:r>
    </w:p>
    <w:p>
      <w:pPr>
        <w:spacing w:after="200"/>
      </w:pPr>
      <w:r>
        <w:rPr>
          <w:i/>
          <w:iCs/>
          <w:color w:val="666666"/>
          <w:sz w:val="18"/>
          <w:szCs w:val="18"/>
        </w:rPr>
        <w:t xml:space="preserve">Note d'analyse risque crédit</w:t>
      </w:r>
    </w:p>
    <w:p>
      <w:pPr>
        <w:spacing w:after="60"/>
      </w:pPr>
      <w:r>
        <w:rPr>
          <w:b/>
          <w:bCs/>
          <w:color w:val="4B2E83"/>
          <w:sz w:val="40"/>
          <w:szCs w:val="40"/>
        </w:rPr>
        <w:t xml:space="preserve">Analyse Financière et Cartographie des Risques</w:t>
      </w:r>
    </w:p>
    <w:p>
      <w:pPr>
        <w:spacing w:after="300"/>
      </w:pPr>
      <w:r>
        <w:rPr>
          <w:b/>
          <w:bCs/>
          <w:color w:val="000000"/>
          <w:sz w:val="28"/>
          <w:szCs w:val="28"/>
        </w:rPr>
        <w:t xml:space="preserve">GCB COCOA CI — Transformation industrielle de cacao</w:t>
      </w:r>
    </w:p>
    <w:p>
      <w:pPr>
        <w:spacing w:after="60"/>
      </w:pPr>
      <w:r>
        <w:rPr>
          <w:color w:val="666666"/>
          <w:sz w:val="18"/>
          <w:szCs w:val="18"/>
        </w:rPr>
        <w:t xml:space="preserve">Client : GCB COCOA CI (CI-SAP-2024-B-341)  |  Activité : Transformation de fèves de cacao  |  Actionnaire : GCB Cocoa Singapore Pte Ltd (Groupe Guan Chong Berhad)  |  Devise : XOF  |  Audité : OUI</w:t>
      </w:r>
    </w:p>
    <w:p>
      <w:pPr>
        <w:spacing w:after="400"/>
      </w:pPr>
      <w:r>
        <w:rPr>
          <w:i/>
          <w:iCs/>
          <w:color w:val="666666"/>
          <w:sz w:val="18"/>
          <w:szCs w:val="18"/>
        </w:rPr>
        <w:t xml:space="preserve">Périmètre d'analyse : exercices clos 31/12/2023, 31/12/2024, 31/12/2025 ; note du chargé d'affaires SGCI (Dominique Grié / Becanty Kouadio, 06/2026) ; suivi de campagne 24/25 et prévisions 25/26.</w:t>
      </w:r>
    </w:p>
    <w:p>
      <w:pPr>
        <w:pStyle w:val="Heading1"/>
        <w:pBdr>
          <w:bottom w:val="single" w:color="4B2E83" w:sz="6" w:space="4"/>
        </w:pBdr>
        <w:spacing w:after="150" w:before="300"/>
      </w:pPr>
      <w:r>
        <w:rPr>
          <w:b/>
          <w:bCs/>
          <w:color w:val="4B2E83"/>
          <w:sz w:val="28"/>
          <w:szCs w:val="28"/>
        </w:rPr>
        <w:t xml:space="preserve">I. Profil et modèle économique</w:t>
      </w:r>
    </w:p>
    <w:p>
      <w:pPr>
        <w:spacing w:after="160" w:line="276"/>
        <w:jc w:val="both"/>
      </w:pPr>
      <w:r>
        <w:rPr>
          <w:sz w:val="21"/>
          <w:szCs w:val="21"/>
        </w:rPr>
        <w:t xml:space="preserve">GCB Cocoa CI est une filiale industrielle détenue à 100% par GCB Cocoa Singapore Pte Ltd, elle-même filiale du groupe malaisien Guan Chong Berhad (marque Favorich), l'un des principaux transformateurs mondiaux de cacao. L'usine de San Pedro, mise en production en novembre 2022 (première unité) puis complétée fin 2025 par une seconde unité, transforme des fèves de cacao ivoiriennes en produits semi-finis (masse, beurre, tourteau, poudre) destinés à un client unique : sa propre maison mère. Le fournisseur de fèves, SITAPA (Groupe ATTIE), est également unique et bien connu de SGCI.</w:t>
      </w:r>
    </w:p>
    <w:p>
      <w:pPr>
        <w:spacing w:after="160" w:line="276"/>
        <w:jc w:val="both"/>
      </w:pPr>
      <w:r>
        <w:rPr>
          <w:sz w:val="21"/>
          <w:szCs w:val="21"/>
        </w:rPr>
        <w:t xml:space="preserve">Conformément à la politique de cost-plus du Groupe, le résultat avant impôt est calé à 3% du chiffre d'affaires, confirmé sur les trois derniers exercices. La rentabilité n'est donc pas le fruit d'une performance commerciale autonome mais d'un mécanisme de marge administrée par la maison mère — la vraie question de risque porte sur la solidité de la structure financière et de la liquidité de la filiale ivoirienne, et sur la pérennité du soutien du Groupe.</w:t>
      </w:r>
    </w:p>
    <w:p>
      <w:pPr>
        <w:spacing w:after="160" w:line="276"/>
        <w:jc w:val="both"/>
      </w:pPr>
      <w:r>
        <w:rPr>
          <w:b/>
          <w:bCs/>
          <w:sz w:val="21"/>
          <w:szCs w:val="21"/>
        </w:rPr>
        <w:t xml:space="preserve">Point structurant : </w:t>
      </w:r>
      <w:r>
        <w:rPr>
          <w:sz w:val="21"/>
          <w:szCs w:val="21"/>
        </w:rPr>
        <w:t xml:space="preserve">depuis 2023, l'entreprise bénéficie d'une exonération d'impôt sur les bénéfices industriels et commerciaux (100% sur les 5 premières années, 50% sur les 5 suivantes). Le résultat net observé n'est donc pas amputé de charge fiscale — un avantage temporaire à ne pas extrapoler au-delà de son terme.</w:t>
      </w:r>
    </w:p>
    <w:p>
      <w:pPr>
        <w:pStyle w:val="Heading1"/>
        <w:pBdr>
          <w:bottom w:val="single" w:color="4B2E83" w:sz="6" w:space="4"/>
        </w:pBdr>
        <w:spacing w:after="150" w:before="300"/>
      </w:pPr>
      <w:r>
        <w:rPr>
          <w:b/>
          <w:bCs/>
          <w:color w:val="4B2E83"/>
          <w:sz w:val="28"/>
          <w:szCs w:val="28"/>
        </w:rPr>
        <w:t xml:space="preserve">II. Note méthodologique — lecture croisée % struct. et %Δ</w:t>
      </w:r>
    </w:p>
    <w:p>
      <w:pPr>
        <w:spacing w:after="160" w:line="276"/>
        <w:jc w:val="both"/>
      </w:pPr>
      <w:r>
        <w:rPr>
          <w:sz w:val="21"/>
          <w:szCs w:val="21"/>
        </w:rPr>
        <w:t xml:space="preserve">Les documents transmis affichent systématiquement deux pourcentages par poste : le % struct. (poids du poste dans le chiffre d'affaires ou le bilan de l'année) et le %Δ (variation par rapport à l'année précédente). Ces deux indicateurs répondent à des questions différentes et peuvent produire des résultats en apparence contradictoires : le % struct. a pour dénominateur une grandeur large (le CA total) et mesure la matérialité du poste, tandis que le %Δ a pour dénominateur la valeur du poste l'année précédente, qui peut être proche de zéro — il devient alors statistiquement instable, voire absurde, si la base de référence est faible ou change de signe.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2500"/>
        <w:gridCol w:w="2000"/>
        <w:gridCol w:w="1500"/>
      </w:tblGrid>
      <w:tr>
        <w:tc>
          <w:tcPr>
            <w:tcW w:type="dxa" w:w="3350"/>
            <w:shd w:fill="4B2E83" w:val="clear"/>
            <w:tcMar>
              <w:top w:type="dxa" w:w="80"/>
              <w:left w:type="dxa" w:w="100"/>
              <w:bottom w:type="dxa" w:w="80"/>
              <w:right w:type="dxa" w:w="100"/>
            </w:tcMar>
          </w:tcPr>
          <w:p>
            <w:pPr>
              <w:jc w:val="left"/>
            </w:pPr>
            <w:r>
              <w:rPr>
                <w:b/>
                <w:bCs/>
                <w:color w:val="FFFFFF"/>
                <w:sz w:val="19"/>
                <w:szCs w:val="19"/>
              </w:rPr>
              <w:t xml:space="preserve">Poste</w:t>
            </w:r>
          </w:p>
        </w:tc>
        <w:tc>
          <w:tcPr>
            <w:tcW w:type="dxa" w:w="2500"/>
            <w:shd w:fill="4B2E83" w:val="clear"/>
            <w:tcMar>
              <w:top w:type="dxa" w:w="80"/>
              <w:left w:type="dxa" w:w="100"/>
              <w:bottom w:type="dxa" w:w="80"/>
              <w:right w:type="dxa" w:w="100"/>
            </w:tcMar>
          </w:tcPr>
          <w:p>
            <w:pPr>
              <w:jc w:val="center"/>
            </w:pPr>
            <w:r>
              <w:rPr>
                <w:b/>
                <w:bCs/>
                <w:color w:val="FFFFFF"/>
                <w:sz w:val="19"/>
                <w:szCs w:val="19"/>
              </w:rPr>
              <w:t xml:space="preserve">% struct. (poids/CA)</w:t>
            </w:r>
          </w:p>
        </w:tc>
        <w:tc>
          <w:tcPr>
            <w:tcW w:type="dxa" w:w="2000"/>
            <w:shd w:fill="4B2E83" w:val="clear"/>
            <w:tcMar>
              <w:top w:type="dxa" w:w="80"/>
              <w:left w:type="dxa" w:w="100"/>
              <w:bottom w:type="dxa" w:w="80"/>
              <w:right w:type="dxa" w:w="100"/>
            </w:tcMar>
          </w:tcPr>
          <w:p>
            <w:pPr>
              <w:jc w:val="center"/>
            </w:pPr>
            <w:r>
              <w:rPr>
                <w:b/>
                <w:bCs/>
                <w:color w:val="FFFFFF"/>
                <w:sz w:val="19"/>
                <w:szCs w:val="19"/>
              </w:rPr>
              <w:t xml:space="preserve">%Δ (évolution)</w:t>
            </w:r>
          </w:p>
        </w:tc>
        <w:tc>
          <w:tcPr>
            <w:tcW w:type="dxa" w:w="1500"/>
            <w:shd w:fill="4B2E83" w:val="clear"/>
            <w:tcMar>
              <w:top w:type="dxa" w:w="80"/>
              <w:left w:type="dxa" w:w="100"/>
              <w:bottom w:type="dxa" w:w="80"/>
              <w:right w:type="dxa" w:w="100"/>
            </w:tcMar>
          </w:tcPr>
          <w:p>
            <w:pPr>
              <w:jc w:val="center"/>
            </w:pPr>
            <w:r>
              <w:rPr>
                <w:b/>
                <w:bCs/>
                <w:color w:val="FFFFFF"/>
                <w:sz w:val="19"/>
                <w:szCs w:val="19"/>
              </w:rPr>
              <w:t xml:space="preserve">Lecture</w:t>
            </w:r>
          </w:p>
        </w:tc>
      </w:tr>
      <w:tr>
        <w:tc>
          <w:tcPr>
            <w:tcW w:type="dxa" w:w="3350"/>
            <w:tcMar>
              <w:top w:type="dxa" w:w="80"/>
              <w:left w:type="dxa" w:w="100"/>
              <w:bottom w:type="dxa" w:w="80"/>
              <w:right w:type="dxa" w:w="100"/>
            </w:tcMar>
          </w:tcPr>
          <w:p>
            <w:pPr>
              <w:jc w:val="left"/>
            </w:pPr>
            <w:r>
              <w:rPr>
                <w:b w:val="false"/>
                <w:bCs w:val="false"/>
                <w:color w:val="000000"/>
                <w:sz w:val="19"/>
                <w:szCs w:val="19"/>
              </w:rPr>
              <w:t xml:space="preserve">Production stockée</w:t>
            </w:r>
          </w:p>
        </w:tc>
        <w:tc>
          <w:tcPr>
            <w:tcW w:type="dxa" w:w="2500"/>
            <w:tcMar>
              <w:top w:type="dxa" w:w="80"/>
              <w:left w:type="dxa" w:w="100"/>
              <w:bottom w:type="dxa" w:w="80"/>
              <w:right w:type="dxa" w:w="100"/>
            </w:tcMar>
          </w:tcPr>
          <w:p>
            <w:pPr>
              <w:jc w:val="center"/>
            </w:pPr>
            <w:r>
              <w:rPr>
                <w:b w:val="false"/>
                <w:bCs w:val="false"/>
                <w:color w:val="000000"/>
                <w:sz w:val="19"/>
                <w:szCs w:val="19"/>
              </w:rPr>
              <w:t xml:space="preserve">19% → 0%</w:t>
            </w:r>
          </w:p>
        </w:tc>
        <w:tc>
          <w:tcPr>
            <w:tcW w:type="dxa" w:w="2000"/>
            <w:tcMar>
              <w:top w:type="dxa" w:w="80"/>
              <w:left w:type="dxa" w:w="100"/>
              <w:bottom w:type="dxa" w:w="80"/>
              <w:right w:type="dxa" w:w="100"/>
            </w:tcMar>
          </w:tcPr>
          <w:p>
            <w:pPr>
              <w:jc w:val="center"/>
            </w:pPr>
            <w:r>
              <w:rPr>
                <w:b w:val="false"/>
                <w:bCs w:val="false"/>
                <w:color w:val="000000"/>
                <w:sz w:val="19"/>
                <w:szCs w:val="19"/>
              </w:rPr>
              <w:t xml:space="preserve">+837% → -96%</w:t>
            </w:r>
          </w:p>
        </w:tc>
        <w:tc>
          <w:tcPr>
            <w:tcW w:type="dxa" w:w="1500"/>
            <w:tcMar>
              <w:top w:type="dxa" w:w="80"/>
              <w:left w:type="dxa" w:w="100"/>
              <w:bottom w:type="dxa" w:w="80"/>
              <w:right w:type="dxa" w:w="100"/>
            </w:tcMar>
          </w:tcPr>
          <w:p>
            <w:pPr>
              <w:jc w:val="center"/>
            </w:pPr>
            <w:r>
              <w:rPr>
                <w:b w:val="false"/>
                <w:bCs w:val="false"/>
                <w:color w:val="000000"/>
                <w:sz w:val="19"/>
                <w:szCs w:val="19"/>
              </w:rPr>
              <w:t xml:space="preserve">Artefact</w:t>
            </w:r>
          </w:p>
        </w:tc>
      </w:tr>
      <w:tr>
        <w:tc>
          <w:tcPr>
            <w:tcW w:type="dxa" w:w="3350"/>
            <w:tcMar>
              <w:top w:type="dxa" w:w="80"/>
              <w:left w:type="dxa" w:w="100"/>
              <w:bottom w:type="dxa" w:w="80"/>
              <w:right w:type="dxa" w:w="100"/>
            </w:tcMar>
          </w:tcPr>
          <w:p>
            <w:pPr>
              <w:jc w:val="left"/>
            </w:pPr>
            <w:r>
              <w:rPr>
                <w:b w:val="false"/>
                <w:bCs w:val="false"/>
                <w:color w:val="000000"/>
                <w:sz w:val="19"/>
                <w:szCs w:val="19"/>
              </w:rPr>
              <w:t xml:space="preserve">Variation stocks matières 1ères</w:t>
            </w:r>
          </w:p>
        </w:tc>
        <w:tc>
          <w:tcPr>
            <w:tcW w:type="dxa" w:w="2500"/>
            <w:tcMar>
              <w:top w:type="dxa" w:w="80"/>
              <w:left w:type="dxa" w:w="100"/>
              <w:bottom w:type="dxa" w:w="80"/>
              <w:right w:type="dxa" w:w="100"/>
            </w:tcMar>
          </w:tcPr>
          <w:p>
            <w:pPr>
              <w:jc w:val="center"/>
            </w:pPr>
            <w:r>
              <w:rPr>
                <w:b w:val="false"/>
                <w:bCs w:val="false"/>
                <w:color w:val="000000"/>
                <w:sz w:val="19"/>
                <w:szCs w:val="19"/>
              </w:rPr>
              <w:t xml:space="preserve">-6% → -4%</w:t>
            </w:r>
          </w:p>
        </w:tc>
        <w:tc>
          <w:tcPr>
            <w:tcW w:type="dxa" w:w="2000"/>
            <w:tcMar>
              <w:top w:type="dxa" w:w="80"/>
              <w:left w:type="dxa" w:w="100"/>
              <w:bottom w:type="dxa" w:w="80"/>
              <w:right w:type="dxa" w:w="100"/>
            </w:tcMar>
          </w:tcPr>
          <w:p>
            <w:pPr>
              <w:jc w:val="center"/>
            </w:pPr>
            <w:r>
              <w:rPr>
                <w:b w:val="false"/>
                <w:bCs w:val="false"/>
                <w:color w:val="000000"/>
                <w:sz w:val="19"/>
                <w:szCs w:val="19"/>
              </w:rPr>
              <w:t xml:space="preserve">-107% → -3109%</w:t>
            </w:r>
          </w:p>
        </w:tc>
        <w:tc>
          <w:tcPr>
            <w:tcW w:type="dxa" w:w="1500"/>
            <w:tcMar>
              <w:top w:type="dxa" w:w="80"/>
              <w:left w:type="dxa" w:w="100"/>
              <w:bottom w:type="dxa" w:w="80"/>
              <w:right w:type="dxa" w:w="100"/>
            </w:tcMar>
          </w:tcPr>
          <w:p>
            <w:pPr>
              <w:jc w:val="center"/>
            </w:pPr>
            <w:r>
              <w:rPr>
                <w:b w:val="false"/>
                <w:bCs w:val="false"/>
                <w:color w:val="000000"/>
                <w:sz w:val="19"/>
                <w:szCs w:val="19"/>
              </w:rPr>
              <w:t xml:space="preserve">Artefact</w:t>
            </w:r>
          </w:p>
        </w:tc>
      </w:tr>
      <w:tr>
        <w:tc>
          <w:tcPr>
            <w:tcW w:type="dxa" w:w="3350"/>
            <w:tcMar>
              <w:top w:type="dxa" w:w="80"/>
              <w:left w:type="dxa" w:w="100"/>
              <w:bottom w:type="dxa" w:w="80"/>
              <w:right w:type="dxa" w:w="100"/>
            </w:tcMar>
          </w:tcPr>
          <w:p>
            <w:pPr>
              <w:jc w:val="left"/>
            </w:pPr>
            <w:r>
              <w:rPr>
                <w:b w:val="false"/>
                <w:bCs w:val="false"/>
                <w:color w:val="000000"/>
                <w:sz w:val="19"/>
                <w:szCs w:val="19"/>
              </w:rPr>
              <w:t xml:space="preserve">Chiffre d'affaires</w:t>
            </w:r>
          </w:p>
        </w:tc>
        <w:tc>
          <w:tcPr>
            <w:tcW w:type="dxa" w:w="2500"/>
            <w:tcMar>
              <w:top w:type="dxa" w:w="80"/>
              <w:left w:type="dxa" w:w="100"/>
              <w:bottom w:type="dxa" w:w="80"/>
              <w:right w:type="dxa" w:w="100"/>
            </w:tcMar>
          </w:tcPr>
          <w:p>
            <w:pPr>
              <w:jc w:val="center"/>
            </w:pPr>
            <w:r>
              <w:rPr>
                <w:b w:val="false"/>
                <w:bCs w:val="false"/>
                <w:color w:val="000000"/>
                <w:sz w:val="19"/>
                <w:szCs w:val="19"/>
              </w:rPr>
              <w:t xml:space="preserve">100% (réf.)</w:t>
            </w:r>
          </w:p>
        </w:tc>
        <w:tc>
          <w:tcPr>
            <w:tcW w:type="dxa" w:w="2000"/>
            <w:tcMar>
              <w:top w:type="dxa" w:w="80"/>
              <w:left w:type="dxa" w:w="100"/>
              <w:bottom w:type="dxa" w:w="80"/>
              <w:right w:type="dxa" w:w="100"/>
            </w:tcMar>
          </w:tcPr>
          <w:p>
            <w:pPr>
              <w:jc w:val="center"/>
            </w:pPr>
            <w:r>
              <w:rPr>
                <w:b w:val="false"/>
                <w:bCs w:val="false"/>
                <w:color w:val="000000"/>
                <w:sz w:val="19"/>
                <w:szCs w:val="19"/>
              </w:rPr>
              <w:t xml:space="preserve">+49% / +114%</w:t>
            </w:r>
          </w:p>
        </w:tc>
        <w:tc>
          <w:tcPr>
            <w:tcW w:type="dxa" w:w="1500"/>
            <w:tcMar>
              <w:top w:type="dxa" w:w="80"/>
              <w:left w:type="dxa" w:w="100"/>
              <w:bottom w:type="dxa" w:w="80"/>
              <w:right w:type="dxa" w:w="100"/>
            </w:tcMar>
          </w:tcPr>
          <w:p>
            <w:pPr>
              <w:jc w:val="center"/>
            </w:pPr>
            <w:r>
              <w:rPr>
                <w:b w:val="false"/>
                <w:bCs w:val="false"/>
                <w:color w:val="000000"/>
                <w:sz w:val="19"/>
                <w:szCs w:val="19"/>
              </w:rPr>
              <w:t xml:space="preserve">Signal réel</w:t>
            </w:r>
          </w:p>
        </w:tc>
      </w:tr>
      <w:tr>
        <w:tc>
          <w:tcPr>
            <w:tcW w:type="dxa" w:w="3350"/>
            <w:tcMar>
              <w:top w:type="dxa" w:w="80"/>
              <w:left w:type="dxa" w:w="100"/>
              <w:bottom w:type="dxa" w:w="80"/>
              <w:right w:type="dxa" w:w="100"/>
            </w:tcMar>
          </w:tcPr>
          <w:p>
            <w:pPr>
              <w:jc w:val="left"/>
            </w:pPr>
            <w:r>
              <w:rPr>
                <w:b w:val="false"/>
                <w:bCs w:val="false"/>
                <w:color w:val="000000"/>
                <w:sz w:val="19"/>
                <w:szCs w:val="19"/>
              </w:rPr>
              <w:t xml:space="preserve">Marge brute</w:t>
            </w:r>
          </w:p>
        </w:tc>
        <w:tc>
          <w:tcPr>
            <w:tcW w:type="dxa" w:w="2500"/>
            <w:tcMar>
              <w:top w:type="dxa" w:w="80"/>
              <w:left w:type="dxa" w:w="100"/>
              <w:bottom w:type="dxa" w:w="80"/>
              <w:right w:type="dxa" w:w="100"/>
            </w:tcMar>
          </w:tcPr>
          <w:p>
            <w:pPr>
              <w:jc w:val="center"/>
            </w:pPr>
            <w:r>
              <w:rPr>
                <w:b w:val="false"/>
                <w:bCs w:val="false"/>
                <w:color w:val="000000"/>
                <w:sz w:val="19"/>
                <w:szCs w:val="19"/>
              </w:rPr>
              <w:t xml:space="preserve">33% → 23%</w:t>
            </w:r>
          </w:p>
        </w:tc>
        <w:tc>
          <w:tcPr>
            <w:tcW w:type="dxa" w:w="2000"/>
            <w:tcMar>
              <w:top w:type="dxa" w:w="80"/>
              <w:left w:type="dxa" w:w="100"/>
              <w:bottom w:type="dxa" w:w="80"/>
              <w:right w:type="dxa" w:w="100"/>
            </w:tcMar>
          </w:tcPr>
          <w:p>
            <w:pPr>
              <w:jc w:val="center"/>
            </w:pPr>
            <w:r>
              <w:rPr>
                <w:b w:val="false"/>
                <w:bCs w:val="false"/>
                <w:color w:val="000000"/>
                <w:sz w:val="19"/>
                <w:szCs w:val="19"/>
              </w:rPr>
              <w:t xml:space="preserve">cohérent -7 pts</w:t>
            </w:r>
          </w:p>
        </w:tc>
        <w:tc>
          <w:tcPr>
            <w:tcW w:type="dxa" w:w="1500"/>
            <w:tcMar>
              <w:top w:type="dxa" w:w="80"/>
              <w:left w:type="dxa" w:w="100"/>
              <w:bottom w:type="dxa" w:w="80"/>
              <w:right w:type="dxa" w:w="100"/>
            </w:tcMar>
          </w:tcPr>
          <w:p>
            <w:pPr>
              <w:jc w:val="center"/>
            </w:pPr>
            <w:r>
              <w:rPr>
                <w:b w:val="false"/>
                <w:bCs w:val="false"/>
                <w:color w:val="000000"/>
                <w:sz w:val="19"/>
                <w:szCs w:val="19"/>
              </w:rPr>
              <w:t xml:space="preserve">Signal réel</w:t>
            </w:r>
          </w:p>
        </w:tc>
      </w:tr>
    </w:tbl>
    <w:p>
      <w:pPr>
        <w:spacing w:after="160" w:before="200"/>
        <w:jc w:val="both"/>
      </w:pPr>
      <w:r>
        <w:rPr>
          <w:b/>
          <w:bCs/>
          <w:sz w:val="21"/>
          <w:szCs w:val="21"/>
        </w:rPr>
        <w:t xml:space="preserve">Principe retenu pour cette analyse : </w:t>
      </w:r>
      <w:r>
        <w:rPr>
          <w:sz w:val="21"/>
          <w:szCs w:val="21"/>
        </w:rPr>
        <w:t xml:space="preserve">un poste n'est traité comme significatif que lorsque son % struct. ET son %Δ sont simultanément matériels. Les %Δ extrêmes sur des postes secondaires (stocks, production stockée) ne traduisent aucun risque opérationnel réel — ce sont des artefacts arithmétiques liés à une base de calcul proche de zéro, à écarter de la lecture du risque. Le même phénomène explique, dans le dossier Advans CI analysé précédemment, le ratio d'abandon de créances aberrant à -2237%.</w:t>
      </w:r>
    </w:p>
    <w:p>
      <w:pPr>
        <w:pStyle w:val="Heading1"/>
        <w:pBdr>
          <w:bottom w:val="single" w:color="4B2E83" w:sz="6" w:space="4"/>
        </w:pBdr>
        <w:spacing w:after="150" w:before="300"/>
      </w:pPr>
      <w:r>
        <w:rPr>
          <w:b/>
          <w:bCs/>
          <w:color w:val="4B2E83"/>
          <w:sz w:val="28"/>
          <w:szCs w:val="28"/>
        </w:rPr>
        <w:t xml:space="preserve">III. Une croissance spectaculaire, mais à 90% portée par un effet prix exogène</w:t>
      </w:r>
    </w:p>
    <w:p>
      <w:pPr>
        <w:spacing w:after="160" w:line="276"/>
        <w:jc w:val="both"/>
      </w:pPr>
      <w:r>
        <w:rPr>
          <w:sz w:val="21"/>
          <w:szCs w:val="21"/>
        </w:rPr>
        <w:t xml:space="preserve">Le chiffre d'affaires double quasiment (137,7 → 295,2 Mrds XOF, +114%) — ici, %Δ et % struct. convergent : le CA pèse 100% par définition et sa variation est confirmée par la décomposition prix/volume fournie par le client (effet volume ≈ 15,4 Mrds, effet prix ≈ 142,1 Mrds XOF, soit plus de 90% de la hausse). C'est un vrai signal, pas un artefact : le prix bord champ moyen passe de 1 450 à 2 250 FCFA/kg (+55%), avec une accélération sur la campagne 25/26 (2 800 FCFA/kg) suivie d'un retournement brutal du marché mondial qui a déjà fait chuter le volume vendu sur la campagne en cours (29 678 T contre 47 885 T, -38%).</w:t>
      </w:r>
    </w:p>
    <w:p>
      <w:pPr>
        <w:spacing w:after="160" w:line="276"/>
        <w:jc w:val="both"/>
      </w:pPr>
      <w:r>
        <w:rPr>
          <w:b/>
          <w:bCs/>
          <w:sz w:val="21"/>
          <w:szCs w:val="21"/>
        </w:rPr>
        <w:t xml:space="preserve">Point de vigilance : </w:t>
      </w:r>
      <w:r>
        <w:rPr>
          <w:sz w:val="21"/>
          <w:szCs w:val="21"/>
        </w:rPr>
        <w:t xml:space="preserve">une entreprise dont 90% de la croissance vient d'un prix de matière première volatil et cyclique n'a pas une trajectoire acquise — le repli déjà observé sur la campagne 25/26 le démontre concrètement.</w:t>
      </w:r>
    </w:p>
    <w:p>
      <w:pPr>
        <w:pStyle w:val="Heading1"/>
        <w:pBdr>
          <w:bottom w:val="single" w:color="4B2E83" w:sz="6" w:space="4"/>
        </w:pBdr>
        <w:spacing w:after="150" w:before="300"/>
      </w:pPr>
      <w:r>
        <w:rPr>
          <w:b/>
          <w:bCs/>
          <w:color w:val="4B2E83"/>
          <w:sz w:val="28"/>
          <w:szCs w:val="28"/>
        </w:rPr>
        <w:t xml:space="preserve">IV. Rentabilité : dilution confirmée par une double lecture cohérente</w:t>
      </w:r>
    </w:p>
    <w:p>
      <w:pPr>
        <w:spacing w:after="160" w:line="276"/>
        <w:jc w:val="both"/>
      </w:pPr>
      <w:r>
        <w:rPr>
          <w:sz w:val="21"/>
          <w:szCs w:val="21"/>
        </w:rPr>
        <w:t xml:space="preserve">Deux signaux de dilution, où % struct. et %Δ racontent la même histoire de façon cohérente (donc fiable) : la marge brute recule de 7 points de % struct. (30% → 23% du CA), confirmé par le chargé d'affaires comme lié à la hausse du prix d'achat des fèves (+835 FCFA/kg) insuffisamment répercutée ; la rentabilité opérationnelle recule de 2 points de % struct. (7% → 5% du CA), malgré une gestion jugée saine des charges d'exploitation. Le résultat net progresse fortement en %Δ (+105%) tout en restant stable en % struct. (3%) — cohérence confirmée, portée par le cost-plus contractuel et l'absence d'impôt. La rentabilité nette de 3% est jugée « assez bonne » par le chargé d'affaires au regard de l'historique du secteur de la transformation cacaoyère (0-2%).</w:t>
      </w:r>
    </w:p>
    <w:p>
      <w:pPr>
        <w:spacing w:after="200" w:before="100"/>
      </w:pPr>
      <w:r>
        <w:rPr>
          <w:b/>
          <w:bCs/>
          <w:color w:val="4B2E83"/>
          <w:sz w:val="20"/>
          <w:szCs w:val="20"/>
        </w:rPr>
        <w:t xml:space="preserve">Indicateurs clés — vue consolidée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1500"/>
        <w:gridCol w:w="1500"/>
        <w:gridCol w:w="1500"/>
        <w:gridCol w:w="1500"/>
      </w:tblGrid>
      <w:tr>
        <w:tc>
          <w:tcPr>
            <w:tcW w:type="dxa" w:w="3350"/>
            <w:shd w:fill="4B2E83" w:val="clear"/>
            <w:tcMar>
              <w:top w:type="dxa" w:w="80"/>
              <w:left w:type="dxa" w:w="100"/>
              <w:bottom w:type="dxa" w:w="80"/>
              <w:right w:type="dxa" w:w="100"/>
            </w:tcMar>
          </w:tcPr>
          <w:p>
            <w:pPr>
              <w:jc w:val="left"/>
            </w:pPr>
            <w:r>
              <w:rPr>
                <w:b/>
                <w:bCs/>
                <w:color w:val="FFFFFF"/>
                <w:sz w:val="19"/>
                <w:szCs w:val="19"/>
              </w:rPr>
              <w:t xml:space="preserve">Indicateur</w:t>
            </w:r>
          </w:p>
        </w:tc>
        <w:tc>
          <w:tcPr>
            <w:tcW w:type="dxa" w:w="1500"/>
            <w:shd w:fill="4B2E83" w:val="clear"/>
            <w:tcMar>
              <w:top w:type="dxa" w:w="80"/>
              <w:left w:type="dxa" w:w="100"/>
              <w:bottom w:type="dxa" w:w="80"/>
              <w:right w:type="dxa" w:w="100"/>
            </w:tcMar>
          </w:tcPr>
          <w:p>
            <w:pPr>
              <w:jc w:val="center"/>
            </w:pPr>
            <w:r>
              <w:rPr>
                <w:b/>
                <w:bCs/>
                <w:color w:val="FFFFFF"/>
                <w:sz w:val="19"/>
                <w:szCs w:val="19"/>
              </w:rPr>
              <w:t xml:space="preserve">2023</w:t>
            </w:r>
          </w:p>
        </w:tc>
        <w:tc>
          <w:tcPr>
            <w:tcW w:type="dxa" w:w="1500"/>
            <w:shd w:fill="4B2E83" w:val="clear"/>
            <w:tcMar>
              <w:top w:type="dxa" w:w="80"/>
              <w:left w:type="dxa" w:w="100"/>
              <w:bottom w:type="dxa" w:w="80"/>
              <w:right w:type="dxa" w:w="100"/>
            </w:tcMar>
          </w:tcPr>
          <w:p>
            <w:pPr>
              <w:jc w:val="center"/>
            </w:pPr>
            <w:r>
              <w:rPr>
                <w:b/>
                <w:bCs/>
                <w:color w:val="FFFFFF"/>
                <w:sz w:val="19"/>
                <w:szCs w:val="19"/>
              </w:rPr>
              <w:t xml:space="preserve">2024</w:t>
            </w:r>
          </w:p>
        </w:tc>
        <w:tc>
          <w:tcPr>
            <w:tcW w:type="dxa" w:w="1500"/>
            <w:shd w:fill="4B2E83" w:val="clear"/>
            <w:tcMar>
              <w:top w:type="dxa" w:w="80"/>
              <w:left w:type="dxa" w:w="100"/>
              <w:bottom w:type="dxa" w:w="80"/>
              <w:right w:type="dxa" w:w="100"/>
            </w:tcMar>
          </w:tcPr>
          <w:p>
            <w:pPr>
              <w:jc w:val="center"/>
            </w:pPr>
            <w:r>
              <w:rPr>
                <w:b/>
                <w:bCs/>
                <w:color w:val="FFFFFF"/>
                <w:sz w:val="19"/>
                <w:szCs w:val="19"/>
              </w:rPr>
              <w:t xml:space="preserve">2025</w:t>
            </w:r>
          </w:p>
        </w:tc>
        <w:tc>
          <w:tcPr>
            <w:tcW w:type="dxa" w:w="1500"/>
            <w:shd w:fill="4B2E83" w:val="clear"/>
            <w:tcMar>
              <w:top w:type="dxa" w:w="80"/>
              <w:left w:type="dxa" w:w="100"/>
              <w:bottom w:type="dxa" w:w="80"/>
              <w:right w:type="dxa" w:w="100"/>
            </w:tcMar>
          </w:tcPr>
          <w:p>
            <w:pPr>
              <w:jc w:val="center"/>
            </w:pPr>
            <w:r>
              <w:rPr>
                <w:b/>
                <w:bCs/>
                <w:color w:val="FFFFFF"/>
                <w:sz w:val="19"/>
                <w:szCs w:val="19"/>
              </w:rPr>
              <w:t xml:space="preserve">Tendance</w:t>
            </w:r>
          </w:p>
        </w:tc>
      </w:tr>
      <w:tr>
        <w:tc>
          <w:tcPr>
            <w:tcW w:type="dxa" w:w="3350"/>
            <w:tcMar>
              <w:top w:type="dxa" w:w="80"/>
              <w:left w:type="dxa" w:w="100"/>
              <w:bottom w:type="dxa" w:w="80"/>
              <w:right w:type="dxa" w:w="100"/>
            </w:tcMar>
          </w:tcPr>
          <w:p>
            <w:pPr>
              <w:jc w:val="left"/>
            </w:pPr>
            <w:r>
              <w:rPr>
                <w:b w:val="false"/>
                <w:bCs w:val="false"/>
                <w:color w:val="000000"/>
                <w:sz w:val="19"/>
                <w:szCs w:val="19"/>
              </w:rPr>
              <w:t xml:space="preserve">Chiffre d'affaires (Mrds XOF)</w:t>
            </w:r>
          </w:p>
        </w:tc>
        <w:tc>
          <w:tcPr>
            <w:tcW w:type="dxa" w:w="1500"/>
            <w:tcMar>
              <w:top w:type="dxa" w:w="80"/>
              <w:left w:type="dxa" w:w="100"/>
              <w:bottom w:type="dxa" w:w="80"/>
              <w:right w:type="dxa" w:w="100"/>
            </w:tcMar>
          </w:tcPr>
          <w:p>
            <w:pPr>
              <w:jc w:val="center"/>
            </w:pPr>
            <w:r>
              <w:rPr>
                <w:b w:val="false"/>
                <w:bCs w:val="false"/>
                <w:color w:val="000000"/>
                <w:sz w:val="19"/>
                <w:szCs w:val="19"/>
              </w:rPr>
              <w:t xml:space="preserve">92,2</w:t>
            </w:r>
          </w:p>
        </w:tc>
        <w:tc>
          <w:tcPr>
            <w:tcW w:type="dxa" w:w="1500"/>
            <w:tcMar>
              <w:top w:type="dxa" w:w="80"/>
              <w:left w:type="dxa" w:w="100"/>
              <w:bottom w:type="dxa" w:w="80"/>
              <w:right w:type="dxa" w:w="100"/>
            </w:tcMar>
          </w:tcPr>
          <w:p>
            <w:pPr>
              <w:jc w:val="center"/>
            </w:pPr>
            <w:r>
              <w:rPr>
                <w:b w:val="false"/>
                <w:bCs w:val="false"/>
                <w:color w:val="000000"/>
                <w:sz w:val="19"/>
                <w:szCs w:val="19"/>
              </w:rPr>
              <w:t xml:space="preserve">137,7</w:t>
            </w:r>
          </w:p>
        </w:tc>
        <w:tc>
          <w:tcPr>
            <w:tcW w:type="dxa" w:w="1500"/>
            <w:tcMar>
              <w:top w:type="dxa" w:w="80"/>
              <w:left w:type="dxa" w:w="100"/>
              <w:bottom w:type="dxa" w:w="80"/>
              <w:right w:type="dxa" w:w="100"/>
            </w:tcMar>
          </w:tcPr>
          <w:p>
            <w:pPr>
              <w:jc w:val="center"/>
            </w:pPr>
            <w:r>
              <w:rPr>
                <w:b w:val="false"/>
                <w:bCs w:val="false"/>
                <w:color w:val="000000"/>
                <w:sz w:val="19"/>
                <w:szCs w:val="19"/>
              </w:rPr>
              <w:t xml:space="preserve">295,2</w:t>
            </w:r>
          </w:p>
        </w:tc>
        <w:tc>
          <w:tcPr>
            <w:tcW w:type="dxa" w:w="1500"/>
            <w:tcMar>
              <w:top w:type="dxa" w:w="80"/>
              <w:left w:type="dxa" w:w="100"/>
              <w:bottom w:type="dxa" w:w="80"/>
              <w:right w:type="dxa" w:w="100"/>
            </w:tcMar>
          </w:tcPr>
          <w:p>
            <w:pPr>
              <w:jc w:val="center"/>
            </w:pPr>
            <w:r>
              <w:rPr>
                <w:b w:val="false"/>
                <w:bCs w:val="false"/>
                <w:color w:val="000000"/>
                <w:sz w:val="19"/>
                <w:szCs w:val="19"/>
              </w:rPr>
              <w:t xml:space="preserve">+49% / +114%</w:t>
            </w:r>
          </w:p>
        </w:tc>
      </w:tr>
      <w:tr>
        <w:tc>
          <w:tcPr>
            <w:tcW w:type="dxa" w:w="3350"/>
            <w:tcMar>
              <w:top w:type="dxa" w:w="80"/>
              <w:left w:type="dxa" w:w="100"/>
              <w:bottom w:type="dxa" w:w="80"/>
              <w:right w:type="dxa" w:w="100"/>
            </w:tcMar>
          </w:tcPr>
          <w:p>
            <w:pPr>
              <w:jc w:val="left"/>
            </w:pPr>
            <w:r>
              <w:rPr>
                <w:b w:val="false"/>
                <w:bCs w:val="false"/>
                <w:color w:val="000000"/>
                <w:sz w:val="19"/>
                <w:szCs w:val="19"/>
              </w:rPr>
              <w:t xml:space="preserve">Marge brute / CA</w:t>
            </w:r>
          </w:p>
        </w:tc>
        <w:tc>
          <w:tcPr>
            <w:tcW w:type="dxa" w:w="1500"/>
            <w:tcMar>
              <w:top w:type="dxa" w:w="80"/>
              <w:left w:type="dxa" w:w="100"/>
              <w:bottom w:type="dxa" w:w="80"/>
              <w:right w:type="dxa" w:w="100"/>
            </w:tcMar>
          </w:tcPr>
          <w:p>
            <w:pPr>
              <w:jc w:val="center"/>
            </w:pPr>
            <w:r>
              <w:rPr>
                <w:b w:val="false"/>
                <w:bCs w:val="false"/>
                <w:color w:val="000000"/>
                <w:sz w:val="19"/>
                <w:szCs w:val="19"/>
              </w:rPr>
              <w:t xml:space="preserve">33%</w:t>
            </w:r>
          </w:p>
        </w:tc>
        <w:tc>
          <w:tcPr>
            <w:tcW w:type="dxa" w:w="1500"/>
            <w:tcMar>
              <w:top w:type="dxa" w:w="80"/>
              <w:left w:type="dxa" w:w="100"/>
              <w:bottom w:type="dxa" w:w="80"/>
              <w:right w:type="dxa" w:w="100"/>
            </w:tcMar>
          </w:tcPr>
          <w:p>
            <w:pPr>
              <w:jc w:val="center"/>
            </w:pPr>
            <w:r>
              <w:rPr>
                <w:b w:val="false"/>
                <w:bCs w:val="false"/>
                <w:color w:val="000000"/>
                <w:sz w:val="19"/>
                <w:szCs w:val="19"/>
              </w:rPr>
              <w:t xml:space="preserve">30%</w:t>
            </w:r>
          </w:p>
        </w:tc>
        <w:tc>
          <w:tcPr>
            <w:tcW w:type="dxa" w:w="1500"/>
            <w:tcMar>
              <w:top w:type="dxa" w:w="80"/>
              <w:left w:type="dxa" w:w="100"/>
              <w:bottom w:type="dxa" w:w="80"/>
              <w:right w:type="dxa" w:w="100"/>
            </w:tcMar>
          </w:tcPr>
          <w:p>
            <w:pPr>
              <w:jc w:val="center"/>
            </w:pPr>
            <w:r>
              <w:rPr>
                <w:b w:val="false"/>
                <w:bCs w:val="false"/>
                <w:color w:val="000000"/>
                <w:sz w:val="19"/>
                <w:szCs w:val="19"/>
              </w:rPr>
              <w:t xml:space="preserve">23%</w:t>
            </w:r>
          </w:p>
        </w:tc>
        <w:tc>
          <w:tcPr>
            <w:tcW w:type="dxa" w:w="1500"/>
            <w:tcMar>
              <w:top w:type="dxa" w:w="80"/>
              <w:left w:type="dxa" w:w="100"/>
              <w:bottom w:type="dxa" w:w="80"/>
              <w:right w:type="dxa" w:w="100"/>
            </w:tcMar>
          </w:tcPr>
          <w:p>
            <w:pPr>
              <w:jc w:val="center"/>
            </w:pPr>
            <w:r>
              <w:rPr>
                <w:b w:val="false"/>
                <w:bCs w:val="false"/>
                <w:color w:val="000000"/>
                <w:sz w:val="19"/>
                <w:szCs w:val="19"/>
              </w:rPr>
              <w:t xml:space="preserve">Baisse continue</w:t>
            </w:r>
          </w:p>
        </w:tc>
      </w:tr>
      <w:tr>
        <w:tc>
          <w:tcPr>
            <w:tcW w:type="dxa" w:w="3350"/>
            <w:tcMar>
              <w:top w:type="dxa" w:w="80"/>
              <w:left w:type="dxa" w:w="100"/>
              <w:bottom w:type="dxa" w:w="80"/>
              <w:right w:type="dxa" w:w="100"/>
            </w:tcMar>
          </w:tcPr>
          <w:p>
            <w:pPr>
              <w:jc w:val="left"/>
            </w:pPr>
            <w:r>
              <w:rPr>
                <w:b w:val="false"/>
                <w:bCs w:val="false"/>
                <w:color w:val="000000"/>
                <w:sz w:val="19"/>
                <w:szCs w:val="19"/>
              </w:rPr>
              <w:t xml:space="preserve">Résultat d'exploitation / CA</w:t>
            </w:r>
          </w:p>
        </w:tc>
        <w:tc>
          <w:tcPr>
            <w:tcW w:type="dxa" w:w="1500"/>
            <w:tcMar>
              <w:top w:type="dxa" w:w="80"/>
              <w:left w:type="dxa" w:w="100"/>
              <w:bottom w:type="dxa" w:w="80"/>
              <w:right w:type="dxa" w:w="100"/>
            </w:tcMar>
          </w:tcPr>
          <w:p>
            <w:pPr>
              <w:jc w:val="center"/>
            </w:pPr>
            <w:r>
              <w:rPr>
                <w:b w:val="false"/>
                <w:bCs w:val="false"/>
                <w:color w:val="000000"/>
                <w:sz w:val="19"/>
                <w:szCs w:val="19"/>
              </w:rPr>
              <w:t xml:space="preserve">5%</w:t>
            </w:r>
          </w:p>
        </w:tc>
        <w:tc>
          <w:tcPr>
            <w:tcW w:type="dxa" w:w="1500"/>
            <w:tcMar>
              <w:top w:type="dxa" w:w="80"/>
              <w:left w:type="dxa" w:w="100"/>
              <w:bottom w:type="dxa" w:w="80"/>
              <w:right w:type="dxa" w:w="100"/>
            </w:tcMar>
          </w:tcPr>
          <w:p>
            <w:pPr>
              <w:jc w:val="center"/>
            </w:pPr>
            <w:r>
              <w:rPr>
                <w:b w:val="false"/>
                <w:bCs w:val="false"/>
                <w:color w:val="000000"/>
                <w:sz w:val="19"/>
                <w:szCs w:val="19"/>
              </w:rPr>
              <w:t xml:space="preserve">6%</w:t>
            </w:r>
          </w:p>
        </w:tc>
        <w:tc>
          <w:tcPr>
            <w:tcW w:type="dxa" w:w="1500"/>
            <w:tcMar>
              <w:top w:type="dxa" w:w="80"/>
              <w:left w:type="dxa" w:w="100"/>
              <w:bottom w:type="dxa" w:w="80"/>
              <w:right w:type="dxa" w:w="100"/>
            </w:tcMar>
          </w:tcPr>
          <w:p>
            <w:pPr>
              <w:jc w:val="center"/>
            </w:pPr>
            <w:r>
              <w:rPr>
                <w:b w:val="false"/>
                <w:bCs w:val="false"/>
                <w:color w:val="000000"/>
                <w:sz w:val="19"/>
                <w:szCs w:val="19"/>
              </w:rPr>
              <w:t xml:space="preserve">5%</w:t>
            </w:r>
          </w:p>
        </w:tc>
        <w:tc>
          <w:tcPr>
            <w:tcW w:type="dxa" w:w="1500"/>
            <w:tcMar>
              <w:top w:type="dxa" w:w="80"/>
              <w:left w:type="dxa" w:w="100"/>
              <w:bottom w:type="dxa" w:w="80"/>
              <w:right w:type="dxa" w:w="100"/>
            </w:tcMar>
          </w:tcPr>
          <w:p>
            <w:pPr>
              <w:jc w:val="center"/>
            </w:pPr>
            <w:r>
              <w:rPr>
                <w:b w:val="false"/>
                <w:bCs w:val="false"/>
                <w:color w:val="000000"/>
                <w:sz w:val="19"/>
                <w:szCs w:val="19"/>
              </w:rPr>
              <w:t xml:space="preserve">-2 pts / 2025</w:t>
            </w:r>
          </w:p>
        </w:tc>
      </w:tr>
      <w:tr>
        <w:tc>
          <w:tcPr>
            <w:tcW w:type="dxa" w:w="3350"/>
            <w:tcMar>
              <w:top w:type="dxa" w:w="80"/>
              <w:left w:type="dxa" w:w="100"/>
              <w:bottom w:type="dxa" w:w="80"/>
              <w:right w:type="dxa" w:w="100"/>
            </w:tcMar>
          </w:tcPr>
          <w:p>
            <w:pPr>
              <w:jc w:val="left"/>
            </w:pPr>
            <w:r>
              <w:rPr>
                <w:b w:val="false"/>
                <w:bCs w:val="false"/>
                <w:color w:val="000000"/>
                <w:sz w:val="19"/>
                <w:szCs w:val="19"/>
              </w:rPr>
              <w:t xml:space="preserve">Résultat net (Mrds XOF)</w:t>
            </w:r>
          </w:p>
        </w:tc>
        <w:tc>
          <w:tcPr>
            <w:tcW w:type="dxa" w:w="1500"/>
            <w:tcMar>
              <w:top w:type="dxa" w:w="80"/>
              <w:left w:type="dxa" w:w="100"/>
              <w:bottom w:type="dxa" w:w="80"/>
              <w:right w:type="dxa" w:w="100"/>
            </w:tcMar>
          </w:tcPr>
          <w:p>
            <w:pPr>
              <w:jc w:val="center"/>
            </w:pPr>
            <w:r>
              <w:rPr>
                <w:b w:val="false"/>
                <w:bCs w:val="false"/>
                <w:color w:val="000000"/>
                <w:sz w:val="19"/>
                <w:szCs w:val="19"/>
              </w:rPr>
              <w:t xml:space="preserve">2,57</w:t>
            </w:r>
          </w:p>
        </w:tc>
        <w:tc>
          <w:tcPr>
            <w:tcW w:type="dxa" w:w="1500"/>
            <w:tcMar>
              <w:top w:type="dxa" w:w="80"/>
              <w:left w:type="dxa" w:w="100"/>
              <w:bottom w:type="dxa" w:w="80"/>
              <w:right w:type="dxa" w:w="100"/>
            </w:tcMar>
          </w:tcPr>
          <w:p>
            <w:pPr>
              <w:jc w:val="center"/>
            </w:pPr>
            <w:r>
              <w:rPr>
                <w:b w:val="false"/>
                <w:bCs w:val="false"/>
                <w:color w:val="000000"/>
                <w:sz w:val="19"/>
                <w:szCs w:val="19"/>
              </w:rPr>
              <w:t xml:space="preserve">4,21</w:t>
            </w:r>
          </w:p>
        </w:tc>
        <w:tc>
          <w:tcPr>
            <w:tcW w:type="dxa" w:w="1500"/>
            <w:tcMar>
              <w:top w:type="dxa" w:w="80"/>
              <w:left w:type="dxa" w:w="100"/>
              <w:bottom w:type="dxa" w:w="80"/>
              <w:right w:type="dxa" w:w="100"/>
            </w:tcMar>
          </w:tcPr>
          <w:p>
            <w:pPr>
              <w:jc w:val="center"/>
            </w:pPr>
            <w:r>
              <w:rPr>
                <w:b w:val="false"/>
                <w:bCs w:val="false"/>
                <w:color w:val="000000"/>
                <w:sz w:val="19"/>
                <w:szCs w:val="19"/>
              </w:rPr>
              <w:t xml:space="preserve">8,60</w:t>
            </w:r>
          </w:p>
        </w:tc>
        <w:tc>
          <w:tcPr>
            <w:tcW w:type="dxa" w:w="1500"/>
            <w:tcMar>
              <w:top w:type="dxa" w:w="80"/>
              <w:left w:type="dxa" w:w="100"/>
              <w:bottom w:type="dxa" w:w="80"/>
              <w:right w:type="dxa" w:w="100"/>
            </w:tcMar>
          </w:tcPr>
          <w:p>
            <w:pPr>
              <w:jc w:val="center"/>
            </w:pPr>
            <w:r>
              <w:rPr>
                <w:b w:val="false"/>
                <w:bCs w:val="false"/>
                <w:color w:val="000000"/>
                <w:sz w:val="19"/>
                <w:szCs w:val="19"/>
              </w:rPr>
              <w:t xml:space="preserve">+64% / +105%</w:t>
            </w:r>
          </w:p>
        </w:tc>
      </w:tr>
      <w:tr>
        <w:tc>
          <w:tcPr>
            <w:tcW w:type="dxa" w:w="3350"/>
            <w:tcMar>
              <w:top w:type="dxa" w:w="80"/>
              <w:left w:type="dxa" w:w="100"/>
              <w:bottom w:type="dxa" w:w="80"/>
              <w:right w:type="dxa" w:w="100"/>
            </w:tcMar>
          </w:tcPr>
          <w:p>
            <w:pPr>
              <w:jc w:val="left"/>
            </w:pPr>
            <w:r>
              <w:rPr>
                <w:b w:val="false"/>
                <w:bCs w:val="false"/>
                <w:color w:val="000000"/>
                <w:sz w:val="19"/>
                <w:szCs w:val="19"/>
              </w:rPr>
              <w:t xml:space="preserve">Ratio de solvabilité (Ress. propres/Bilan)</w:t>
            </w:r>
          </w:p>
        </w:tc>
        <w:tc>
          <w:tcPr>
            <w:tcW w:type="dxa" w:w="1500"/>
            <w:tcMar>
              <w:top w:type="dxa" w:w="80"/>
              <w:left w:type="dxa" w:w="100"/>
              <w:bottom w:type="dxa" w:w="80"/>
              <w:right w:type="dxa" w:w="100"/>
            </w:tcMar>
          </w:tcPr>
          <w:p>
            <w:pPr>
              <w:jc w:val="center"/>
            </w:pPr>
            <w:r>
              <w:rPr>
                <w:b w:val="false"/>
                <w:bCs w:val="false"/>
                <w:color w:val="000000"/>
                <w:sz w:val="19"/>
                <w:szCs w:val="19"/>
              </w:rPr>
              <w:t xml:space="preserve">27,9%</w:t>
            </w:r>
          </w:p>
        </w:tc>
        <w:tc>
          <w:tcPr>
            <w:tcW w:type="dxa" w:w="1500"/>
            <w:tcMar>
              <w:top w:type="dxa" w:w="80"/>
              <w:left w:type="dxa" w:w="100"/>
              <w:bottom w:type="dxa" w:w="80"/>
              <w:right w:type="dxa" w:w="100"/>
            </w:tcMar>
          </w:tcPr>
          <w:p>
            <w:pPr>
              <w:jc w:val="center"/>
            </w:pPr>
            <w:r>
              <w:rPr>
                <w:b w:val="false"/>
                <w:bCs w:val="false"/>
                <w:color w:val="000000"/>
                <w:sz w:val="19"/>
                <w:szCs w:val="19"/>
              </w:rPr>
              <w:t xml:space="preserve">17,5%</w:t>
            </w:r>
          </w:p>
        </w:tc>
        <w:tc>
          <w:tcPr>
            <w:tcW w:type="dxa" w:w="1500"/>
            <w:tcMar>
              <w:top w:type="dxa" w:w="80"/>
              <w:left w:type="dxa" w:w="100"/>
              <w:bottom w:type="dxa" w:w="80"/>
              <w:right w:type="dxa" w:w="100"/>
            </w:tcMar>
          </w:tcPr>
          <w:p>
            <w:pPr>
              <w:jc w:val="center"/>
            </w:pPr>
            <w:r>
              <w:rPr>
                <w:b w:val="false"/>
                <w:bCs w:val="false"/>
                <w:color w:val="000000"/>
                <w:sz w:val="19"/>
                <w:szCs w:val="19"/>
              </w:rPr>
              <w:t xml:space="preserve">16,5%</w:t>
            </w:r>
          </w:p>
        </w:tc>
        <w:tc>
          <w:tcPr>
            <w:tcW w:type="dxa" w:w="1500"/>
            <w:tcMar>
              <w:top w:type="dxa" w:w="80"/>
              <w:left w:type="dxa" w:w="100"/>
              <w:bottom w:type="dxa" w:w="80"/>
              <w:right w:type="dxa" w:w="100"/>
            </w:tcMar>
          </w:tcPr>
          <w:p>
            <w:pPr>
              <w:jc w:val="center"/>
            </w:pPr>
            <w:r>
              <w:rPr>
                <w:b w:val="false"/>
                <w:bCs w:val="false"/>
                <w:color w:val="000000"/>
                <w:sz w:val="19"/>
                <w:szCs w:val="19"/>
              </w:rPr>
              <w:t xml:space="preserve">Sous la norme</w:t>
            </w:r>
          </w:p>
        </w:tc>
      </w:tr>
      <w:tr>
        <w:tc>
          <w:tcPr>
            <w:tcW w:type="dxa" w:w="3350"/>
            <w:tcMar>
              <w:top w:type="dxa" w:w="80"/>
              <w:left w:type="dxa" w:w="100"/>
              <w:bottom w:type="dxa" w:w="80"/>
              <w:right w:type="dxa" w:w="100"/>
            </w:tcMar>
          </w:tcPr>
          <w:p>
            <w:pPr>
              <w:jc w:val="left"/>
            </w:pPr>
            <w:r>
              <w:rPr>
                <w:b w:val="false"/>
                <w:bCs w:val="false"/>
                <w:color w:val="000000"/>
                <w:sz w:val="19"/>
                <w:szCs w:val="19"/>
              </w:rPr>
              <w:t xml:space="preserve">Gearing (Dette financière / Ress. propres)</w:t>
            </w:r>
          </w:p>
        </w:tc>
        <w:tc>
          <w:tcPr>
            <w:tcW w:type="dxa" w:w="1500"/>
            <w:tcMar>
              <w:top w:type="dxa" w:w="80"/>
              <w:left w:type="dxa" w:w="100"/>
              <w:bottom w:type="dxa" w:w="80"/>
              <w:right w:type="dxa" w:w="100"/>
            </w:tcMar>
          </w:tcPr>
          <w:p>
            <w:pPr>
              <w:jc w:val="center"/>
            </w:pPr>
            <w:r>
              <w:rPr>
                <w:b w:val="false"/>
                <w:bCs w:val="false"/>
                <w:color w:val="000000"/>
                <w:sz w:val="19"/>
                <w:szCs w:val="19"/>
              </w:rPr>
              <w:t xml:space="preserve">0,23x</w:t>
            </w:r>
          </w:p>
        </w:tc>
        <w:tc>
          <w:tcPr>
            <w:tcW w:type="dxa" w:w="1500"/>
            <w:tcMar>
              <w:top w:type="dxa" w:w="80"/>
              <w:left w:type="dxa" w:w="100"/>
              <w:bottom w:type="dxa" w:w="80"/>
              <w:right w:type="dxa" w:w="100"/>
            </w:tcMar>
          </w:tcPr>
          <w:p>
            <w:pPr>
              <w:jc w:val="center"/>
            </w:pPr>
            <w:r>
              <w:rPr>
                <w:b w:val="false"/>
                <w:bCs w:val="false"/>
                <w:color w:val="000000"/>
                <w:sz w:val="19"/>
                <w:szCs w:val="19"/>
              </w:rPr>
              <w:t xml:space="preserve">1,54x</w:t>
            </w:r>
          </w:p>
        </w:tc>
        <w:tc>
          <w:tcPr>
            <w:tcW w:type="dxa" w:w="1500"/>
            <w:tcMar>
              <w:top w:type="dxa" w:w="80"/>
              <w:left w:type="dxa" w:w="100"/>
              <w:bottom w:type="dxa" w:w="80"/>
              <w:right w:type="dxa" w:w="100"/>
            </w:tcMar>
          </w:tcPr>
          <w:p>
            <w:pPr>
              <w:jc w:val="center"/>
            </w:pPr>
            <w:r>
              <w:rPr>
                <w:b w:val="false"/>
                <w:bCs w:val="false"/>
                <w:color w:val="000000"/>
                <w:sz w:val="19"/>
                <w:szCs w:val="19"/>
              </w:rPr>
              <w:t xml:space="preserve">2,67x</w:t>
            </w:r>
          </w:p>
        </w:tc>
        <w:tc>
          <w:tcPr>
            <w:tcW w:type="dxa" w:w="1500"/>
            <w:tcMar>
              <w:top w:type="dxa" w:w="80"/>
              <w:left w:type="dxa" w:w="100"/>
              <w:bottom w:type="dxa" w:w="80"/>
              <w:right w:type="dxa" w:w="100"/>
            </w:tcMar>
          </w:tcPr>
          <w:p>
            <w:pPr>
              <w:jc w:val="center"/>
            </w:pPr>
            <w:r>
              <w:rPr>
                <w:b w:val="false"/>
                <w:bCs w:val="false"/>
                <w:color w:val="000000"/>
                <w:sz w:val="19"/>
                <w:szCs w:val="19"/>
              </w:rPr>
              <w:t xml:space="preserve">Hors norme</w:t>
            </w:r>
          </w:p>
        </w:tc>
      </w:tr>
      <w:tr>
        <w:tc>
          <w:tcPr>
            <w:tcW w:type="dxa" w:w="3350"/>
            <w:tcMar>
              <w:top w:type="dxa" w:w="80"/>
              <w:left w:type="dxa" w:w="100"/>
              <w:bottom w:type="dxa" w:w="80"/>
              <w:right w:type="dxa" w:w="100"/>
            </w:tcMar>
          </w:tcPr>
          <w:p>
            <w:pPr>
              <w:jc w:val="left"/>
            </w:pPr>
            <w:r>
              <w:rPr>
                <w:b w:val="false"/>
                <w:bCs w:val="false"/>
                <w:color w:val="000000"/>
                <w:sz w:val="19"/>
                <w:szCs w:val="19"/>
              </w:rPr>
              <w:t xml:space="preserve">Leverage (Dette financière / EBE)</w:t>
            </w:r>
          </w:p>
        </w:tc>
        <w:tc>
          <w:tcPr>
            <w:tcW w:type="dxa" w:w="1500"/>
            <w:tcMar>
              <w:top w:type="dxa" w:w="80"/>
              <w:left w:type="dxa" w:w="100"/>
              <w:bottom w:type="dxa" w:w="80"/>
              <w:right w:type="dxa" w:w="100"/>
            </w:tcMar>
          </w:tcPr>
          <w:p>
            <w:pPr>
              <w:jc w:val="center"/>
            </w:pPr>
            <w:r>
              <w:rPr>
                <w:b w:val="false"/>
                <w:bCs w:val="false"/>
                <w:color w:val="000000"/>
                <w:sz w:val="19"/>
                <w:szCs w:val="19"/>
              </w:rPr>
              <w:t xml:space="preserve">0,8x</w:t>
            </w:r>
          </w:p>
        </w:tc>
        <w:tc>
          <w:tcPr>
            <w:tcW w:type="dxa" w:w="1500"/>
            <w:tcMar>
              <w:top w:type="dxa" w:w="80"/>
              <w:left w:type="dxa" w:w="100"/>
              <w:bottom w:type="dxa" w:w="80"/>
              <w:right w:type="dxa" w:w="100"/>
            </w:tcMar>
          </w:tcPr>
          <w:p>
            <w:pPr>
              <w:jc w:val="center"/>
            </w:pPr>
            <w:r>
              <w:rPr>
                <w:b w:val="false"/>
                <w:bCs w:val="false"/>
                <w:color w:val="000000"/>
                <w:sz w:val="19"/>
                <w:szCs w:val="19"/>
              </w:rPr>
              <w:t xml:space="preserve">4,3x</w:t>
            </w:r>
          </w:p>
        </w:tc>
        <w:tc>
          <w:tcPr>
            <w:tcW w:type="dxa" w:w="1500"/>
            <w:tcMar>
              <w:top w:type="dxa" w:w="80"/>
              <w:left w:type="dxa" w:w="100"/>
              <w:bottom w:type="dxa" w:w="80"/>
              <w:right w:type="dxa" w:w="100"/>
            </w:tcMar>
          </w:tcPr>
          <w:p>
            <w:pPr>
              <w:jc w:val="center"/>
            </w:pPr>
            <w:r>
              <w:rPr>
                <w:b w:val="false"/>
                <w:bCs w:val="false"/>
                <w:color w:val="000000"/>
                <w:sz w:val="19"/>
                <w:szCs w:val="19"/>
              </w:rPr>
              <w:t xml:space="preserve">5,9x</w:t>
            </w:r>
          </w:p>
        </w:tc>
        <w:tc>
          <w:tcPr>
            <w:tcW w:type="dxa" w:w="1500"/>
            <w:tcMar>
              <w:top w:type="dxa" w:w="80"/>
              <w:left w:type="dxa" w:w="100"/>
              <w:bottom w:type="dxa" w:w="80"/>
              <w:right w:type="dxa" w:w="100"/>
            </w:tcMar>
          </w:tcPr>
          <w:p>
            <w:pPr>
              <w:jc w:val="center"/>
            </w:pPr>
            <w:r>
              <w:rPr>
                <w:b w:val="false"/>
                <w:bCs w:val="false"/>
                <w:color w:val="000000"/>
                <w:sz w:val="19"/>
                <w:szCs w:val="19"/>
              </w:rPr>
              <w:t xml:space="preserve">Hors norme</w:t>
            </w:r>
          </w:p>
        </w:tc>
      </w:tr>
      <w:tr>
        <w:tc>
          <w:tcPr>
            <w:tcW w:type="dxa" w:w="3350"/>
            <w:tcMar>
              <w:top w:type="dxa" w:w="80"/>
              <w:left w:type="dxa" w:w="100"/>
              <w:bottom w:type="dxa" w:w="80"/>
              <w:right w:type="dxa" w:w="100"/>
            </w:tcMar>
          </w:tcPr>
          <w:p>
            <w:pPr>
              <w:jc w:val="left"/>
            </w:pPr>
            <w:r>
              <w:rPr>
                <w:b w:val="false"/>
                <w:bCs w:val="false"/>
                <w:color w:val="000000"/>
                <w:sz w:val="19"/>
                <w:szCs w:val="19"/>
              </w:rPr>
              <w:t xml:space="preserve">EBE / Frais financiers</w:t>
            </w:r>
          </w:p>
        </w:tc>
        <w:tc>
          <w:tcPr>
            <w:tcW w:type="dxa" w:w="1500"/>
            <w:tcMar>
              <w:top w:type="dxa" w:w="80"/>
              <w:left w:type="dxa" w:w="100"/>
              <w:bottom w:type="dxa" w:w="80"/>
              <w:right w:type="dxa" w:w="100"/>
            </w:tcMar>
          </w:tcPr>
          <w:p>
            <w:pPr>
              <w:jc w:val="center"/>
            </w:pPr>
            <w:r>
              <w:rPr>
                <w:b w:val="false"/>
                <w:bCs w:val="false"/>
                <w:color w:val="000000"/>
                <w:sz w:val="19"/>
                <w:szCs w:val="19"/>
              </w:rPr>
              <w:t xml:space="preserve">2,8x</w:t>
            </w:r>
          </w:p>
        </w:tc>
        <w:tc>
          <w:tcPr>
            <w:tcW w:type="dxa" w:w="1500"/>
            <w:tcMar>
              <w:top w:type="dxa" w:w="80"/>
              <w:left w:type="dxa" w:w="100"/>
              <w:bottom w:type="dxa" w:w="80"/>
              <w:right w:type="dxa" w:w="100"/>
            </w:tcMar>
          </w:tcPr>
          <w:p>
            <w:pPr>
              <w:jc w:val="center"/>
            </w:pPr>
            <w:r>
              <w:rPr>
                <w:b w:val="false"/>
                <w:bCs w:val="false"/>
                <w:color w:val="000000"/>
                <w:sz w:val="19"/>
                <w:szCs w:val="19"/>
              </w:rPr>
              <w:t xml:space="preserve">2,5x</w:t>
            </w:r>
          </w:p>
        </w:tc>
        <w:tc>
          <w:tcPr>
            <w:tcW w:type="dxa" w:w="1500"/>
            <w:tcMar>
              <w:top w:type="dxa" w:w="80"/>
              <w:left w:type="dxa" w:w="100"/>
              <w:bottom w:type="dxa" w:w="80"/>
              <w:right w:type="dxa" w:w="100"/>
            </w:tcMar>
          </w:tcPr>
          <w:p>
            <w:pPr>
              <w:jc w:val="center"/>
            </w:pPr>
            <w:r>
              <w:rPr>
                <w:b w:val="false"/>
                <w:bCs w:val="false"/>
                <w:color w:val="000000"/>
                <w:sz w:val="19"/>
                <w:szCs w:val="19"/>
              </w:rPr>
              <w:t xml:space="preserve">2,9x</w:t>
            </w:r>
          </w:p>
        </w:tc>
        <w:tc>
          <w:tcPr>
            <w:tcW w:type="dxa" w:w="1500"/>
            <w:tcMar>
              <w:top w:type="dxa" w:w="80"/>
              <w:left w:type="dxa" w:w="100"/>
              <w:bottom w:type="dxa" w:w="80"/>
              <w:right w:type="dxa" w:w="100"/>
            </w:tcMar>
          </w:tcPr>
          <w:p>
            <w:pPr>
              <w:jc w:val="center"/>
            </w:pPr>
            <w:r>
              <w:rPr>
                <w:b w:val="false"/>
                <w:bCs w:val="false"/>
                <w:color w:val="000000"/>
                <w:sz w:val="19"/>
                <w:szCs w:val="19"/>
              </w:rPr>
              <w:t xml:space="preserve">Stable</w:t>
            </w:r>
          </w:p>
        </w:tc>
      </w:tr>
    </w:tbl>
    <w:p>
      <w:pPr>
        <w:pStyle w:val="Heading1"/>
        <w:pBdr>
          <w:bottom w:val="single" w:color="4B2E83" w:sz="6" w:space="4"/>
        </w:pBdr>
        <w:spacing w:after="150" w:before="300"/>
      </w:pPr>
      <w:r>
        <w:rPr>
          <w:b/>
          <w:bCs/>
          <w:color w:val="4B2E83"/>
          <w:sz w:val="28"/>
          <w:szCs w:val="28"/>
        </w:rPr>
        <w:t xml:space="preserve">V. Cartographie des risques</w:t>
      </w:r>
    </w:p>
    <w:p>
      <w:pPr>
        <w:pStyle w:val="Heading2"/>
        <w:spacing w:after="100" w:before="240"/>
      </w:pPr>
      <w:r>
        <w:rPr>
          <w:b/>
          <w:bCs/>
          <w:color w:val="4B2E83"/>
          <w:sz w:val="24"/>
          <w:szCs w:val="24"/>
        </w:rPr>
        <w:t xml:space="preserve">1. Risque de structure financière — le point central, déjà constaté hors normes par SGCI</w:t>
      </w:r>
    </w:p>
    <w:p>
      <w:pPr>
        <w:spacing w:after="160" w:line="276"/>
        <w:jc w:val="both"/>
      </w:pPr>
      <w:r>
        <w:rPr>
          <w:sz w:val="21"/>
          <w:szCs w:val="21"/>
        </w:rPr>
        <w:t xml:space="preserve">Le chargé d'affaires documente lui-même explicitement le dépassement simultané de trois ratios de structure financière, conséquence des engagements bancaires supplémentaires contractés par le client en 2025 : le ratio de solvabilité (ressources propres / bilan) baisse à 16,5%, en dessous de la norme imposée par le régulateur ; le gearing (dette financière / ressources propres) atteint 2,67x, hors norme ; le leverage (dette financière / EBE annualisé) atteint 5,9x, également hors norme.</w:t>
      </w:r>
    </w:p>
    <w:p>
      <w:pPr>
        <w:spacing w:after="160" w:line="276"/>
        <w:jc w:val="both"/>
      </w:pPr>
      <w:r>
        <w:rPr>
          <w:b/>
          <w:bCs/>
          <w:sz w:val="21"/>
          <w:szCs w:val="21"/>
        </w:rPr>
        <w:t xml:space="preserve">Point rassurant : </w:t>
      </w:r>
      <w:r>
        <w:rPr>
          <w:sz w:val="21"/>
          <w:szCs w:val="21"/>
        </w:rPr>
        <w:t xml:space="preserve">la couverture des intérêts par l'EBE reste stable et correcte (2,8x → 2,5x → 2,9x) — l'entreprise reste capable de payer ses intérêts, même si la structure de capital s'est fortement dégradée en deux ans. Par ailleurs, 32,8 Mrds XOF de cette dette ne sont pas un nouvel emprunt externe mais un reclassement comptable d'une dette intragroupe (comptes courants d'associés GCBCS et GCCM) de court terme vers long terme — le soutien reste donc en partie intragroupe, pas entièrement un endettement de marché.</w:t>
      </w:r>
    </w:p>
    <w:p>
      <w:pPr>
        <w:pStyle w:val="Heading2"/>
        <w:spacing w:after="100" w:before="240"/>
      </w:pPr>
      <w:r>
        <w:rPr>
          <w:b/>
          <w:bCs/>
          <w:color w:val="4B2E83"/>
          <w:sz w:val="24"/>
          <w:szCs w:val="24"/>
        </w:rPr>
        <w:t xml:space="preserve">2. Risque de liquidité — confirmé et quantifié par le chargé d'affaires</w:t>
      </w:r>
    </w:p>
    <w:p>
      <w:pPr>
        <w:spacing w:after="160" w:line="276"/>
        <w:jc w:val="both"/>
      </w:pPr>
      <w:r>
        <w:rPr>
          <w:sz w:val="21"/>
          <w:szCs w:val="21"/>
        </w:rPr>
        <w:t xml:space="preserve">Le fonds de roulement est resté négatif deux exercices consécutifs (-18,1 Mrds en 2023, -19,0 Mrds en 2024), ne redevenant que marginalement positif en 2025 (+1,8 Mrd). Le Quick Ratio reste sous 1x sur toute la période (0,44x → 0,53x → 0,66x). Le chargé d'affaires confirme une dégradation du BFR de 50 à 70 jours de CA, et une trésorerie nette déficitaire d'environ 59 Mrds XOF sur 2025. Les créances clients, bien qu'intragroupe (donc sans risque de recouvrement au sens classique), portent sur un délai figé entre 90 et 120 jours et contribuent pleinement à cette tension.</w:t>
      </w:r>
    </w:p>
    <w:p>
      <w:pPr>
        <w:pStyle w:val="Heading2"/>
        <w:spacing w:after="100" w:before="240"/>
      </w:pPr>
      <w:r>
        <w:rPr>
          <w:b/>
          <w:bCs/>
          <w:color w:val="4B2E83"/>
          <w:sz w:val="24"/>
          <w:szCs w:val="24"/>
        </w:rPr>
        <w:t xml:space="preserve">3. Risque de marché (cacao) — déjà matérialisé sur la campagne en cours</w:t>
      </w:r>
    </w:p>
    <w:p>
      <w:pPr>
        <w:spacing w:after="160" w:line="276"/>
        <w:jc w:val="both"/>
      </w:pPr>
      <w:r>
        <w:rPr>
          <w:sz w:val="21"/>
          <w:szCs w:val="21"/>
        </w:rPr>
        <w:t xml:space="preserve">Le retournement brutal des prix mondiaux en petite campagne 25/26 a déjà entraîné une baisse de volume vendu de 38% sur la campagne (29 678 T vs 47 885 T). Ce n'est plus un risque théorique mais un phénomène en cours d'observation, cohérent avec la nature cyclique du modèle de revenu.</w:t>
      </w:r>
    </w:p>
    <w:p>
      <w:pPr>
        <w:pStyle w:val="Heading2"/>
        <w:spacing w:after="100" w:before="240"/>
      </w:pPr>
      <w:r>
        <w:rPr>
          <w:b/>
          <w:bCs/>
          <w:color w:val="4B2E83"/>
          <w:sz w:val="24"/>
          <w:szCs w:val="24"/>
        </w:rPr>
        <w:t xml:space="preserve">4. Risque de concentration — à nuancer positivement</w:t>
      </w:r>
    </w:p>
    <w:p>
      <w:pPr>
        <w:spacing w:after="160" w:line="276"/>
        <w:jc w:val="both"/>
      </w:pPr>
      <w:r>
        <w:rPr>
          <w:sz w:val="21"/>
          <w:szCs w:val="21"/>
        </w:rPr>
        <w:t xml:space="preserve">Client unique (maison mère) et fournisseur unique (SITAPA) éliminent le risque de recouvrement classique et le risque fournisseur diffus, mais concentrent la dépendance sur deux contreparties. Le financement SGCI (4 654 T sur 12 mois, soit 15% du volume global vendu au 31/05/2026) reste une part raisonnable au sein d'un pool bancaire plus large — 85% du volume étant financé par d'autres confrères, ce qui limite l'exposition relative de SGCI sur ce client.</w:t>
      </w:r>
    </w:p>
    <w:p>
      <w:pPr>
        <w:pStyle w:val="Heading2"/>
        <w:spacing w:after="100" w:before="240"/>
      </w:pPr>
      <w:r>
        <w:rPr>
          <w:b/>
          <w:bCs/>
          <w:color w:val="4B2E83"/>
          <w:sz w:val="24"/>
          <w:szCs w:val="24"/>
        </w:rPr>
        <w:t xml:space="preserve">5. Risque opérationnel / gouvernance — faible</w:t>
      </w:r>
    </w:p>
    <w:p>
      <w:pPr>
        <w:spacing w:after="160" w:line="276"/>
        <w:jc w:val="both"/>
      </w:pPr>
      <w:r>
        <w:rPr>
          <w:sz w:val="21"/>
          <w:szCs w:val="21"/>
        </w:rPr>
        <w:t xml:space="preserve">Aucune convention réglementée nouvelle sur l'exercice écoulé ; les conventions antérieures se poursuivent normalement. Les états financiers sont audités (mention explicite « Audité : Oui »), ce qui distingue favorablement ce dossier du profil Advans CI analysé précédemment.</w:t>
      </w:r>
    </w:p>
    <w:p>
      <w:pPr>
        <w:pStyle w:val="Heading2"/>
        <w:spacing w:after="100" w:before="240"/>
      </w:pPr>
      <w:r>
        <w:rPr>
          <w:b/>
          <w:bCs/>
          <w:color w:val="4B2E83"/>
          <w:sz w:val="24"/>
          <w:szCs w:val="24"/>
        </w:rPr>
        <w:t xml:space="preserve">6. Perspectives</w:t>
      </w:r>
    </w:p>
    <w:p>
      <w:pPr>
        <w:spacing w:after="160" w:line="276"/>
        <w:jc w:val="both"/>
      </w:pPr>
      <w:r>
        <w:rPr>
          <w:sz w:val="21"/>
          <w:szCs w:val="21"/>
        </w:rPr>
        <w:t xml:space="preserve">Le client prévoit un volume de 105 000 T sur la campagne 25/26 (en hausse), avec déjà 52 000 T (49%) débloqués avant le début de la campagne principale — signal d'activité soutenue à venir. La phase 2 d'investissement (doublement de la capacité de broyage à 120 000 T/an, coût prévisionnel de 33 Mrds XOF hors taxes et fonds de roulement) est déjà engagée, ce qui alimentera probablement une poursuite de la hausse des immobilisations en cours et un besoin de financement complémentaire à moyen terme.</w:t>
      </w:r>
    </w:p>
    <w:p>
      <w:pPr>
        <w:pStyle w:val="Heading1"/>
        <w:pBdr>
          <w:bottom w:val="single" w:color="4B2E83" w:sz="6" w:space="4"/>
        </w:pBdr>
        <w:spacing w:after="150" w:before="300"/>
      </w:pPr>
      <w:r>
        <w:rPr>
          <w:b/>
          <w:bCs/>
          <w:color w:val="4B2E83"/>
          <w:sz w:val="28"/>
          <w:szCs w:val="28"/>
        </w:rPr>
        <w:t xml:space="preserve">VI. Synthèse et avis risque</w:t>
      </w:r>
    </w:p>
    <w:p>
      <w:pPr>
        <w:spacing w:after="160" w:line="276"/>
        <w:jc w:val="both"/>
      </w:pPr>
      <w:r>
        <w:rPr>
          <w:b/>
          <w:bCs/>
          <w:sz w:val="21"/>
          <w:szCs w:val="21"/>
        </w:rPr>
        <w:t xml:space="preserve">Forces : </w:t>
      </w:r>
      <w:r>
        <w:rPr>
          <w:sz w:val="21"/>
          <w:szCs w:val="21"/>
        </w:rPr>
        <w:t xml:space="preserve">adossement à un groupe international solide (Guan Chong Berhad), mécanisme de marge garantie par cost-plus, rentabilité nette supérieure à la moyenne du secteur de la transformation cacaoyère, régime fiscal favorable légitime, absence de risque de recouvrement classique (client intragroupe), couverture des intérêts par l'EBE toujours correcte, endettement partiellement de nature intragroupe plutôt que bancaire externe, états financiers audités.</w:t>
      </w:r>
    </w:p>
    <w:p>
      <w:pPr>
        <w:spacing w:after="160" w:line="276"/>
        <w:jc w:val="both"/>
      </w:pPr>
      <w:r>
        <w:rPr>
          <w:b/>
          <w:bCs/>
          <w:sz w:val="21"/>
          <w:szCs w:val="21"/>
        </w:rPr>
        <w:t xml:space="preserve">Hiérarchisation des risques : </w:t>
      </w:r>
      <w:r>
        <w:rPr>
          <w:sz w:val="21"/>
          <w:szCs w:val="21"/>
        </w:rPr>
        <w:t xml:space="preserve">le point dominant du dossier, confirmé par une double lecture % struct./%Δ cohérente (donc fiable), est le dépassement simultané de trois ratios de structure financière déjà documenté par SGCI elle-même (solvabilité, gearing, leverage), conséquence directe des engagements bancaires supplémentaires pris en 2025. Ce constat coexiste avec une tension de liquidité chiffrée (BFR +50 à 70 jours, trésorerie nette déficitaire d'environ 59 Mrds XOF) et une exposition confirmée au risque de marché cacao, déjà matérialisée par la baisse de volume sur la campagne en cours.</w:t>
      </w:r>
    </w:p>
    <w:p>
      <w:pPr>
        <w:spacing w:after="160" w:line="276"/>
        <w:jc w:val="both"/>
      </w:pPr>
      <w:r>
        <w:rPr>
          <w:b/>
          <w:bCs/>
          <w:sz w:val="21"/>
          <w:szCs w:val="21"/>
        </w:rPr>
        <w:t xml:space="preserve">Recommandation : </w:t>
      </w:r>
      <w:r>
        <w:rPr>
          <w:sz w:val="21"/>
          <w:szCs w:val="21"/>
        </w:rPr>
        <w:t xml:space="preserve">la décision de comité doit porter moins sur la description du risque — déjà bien documentée et convergente avec l'analyse du chargé d'affaires — que sur les conditions de mitigation à exiger avant tout renouvellement ou nouvel engagement : obtenir le détail et l'échéancier des engagements bancaires supplémentaires 2025 à l'origine du dépassement des ratios, faire préciser si une garantie ou lettre de confort du Groupe accompagne ces engagements, demander un plan de retour sous les normes de solvabilité/gearing/leverage à horizon défini, et suivre l'évolution du BFR et de la trésorerie nette au prochain arrêté, dans un contexte de marché cacao déjà en repli sur la campagne en cours.</w:t>
      </w:r>
    </w:p>
    <w:p>
      <w:pPr>
        <w:pStyle w:val="Heading1"/>
        <w:pBdr>
          <w:bottom w:val="single" w:color="4B2E83" w:sz="6" w:space="4"/>
        </w:pBdr>
        <w:spacing w:after="150" w:before="300"/>
      </w:pPr>
      <w:r>
        <w:rPr>
          <w:b/>
          <w:bCs/>
          <w:color w:val="4B2E83"/>
          <w:sz w:val="28"/>
          <w:szCs w:val="28"/>
        </w:rPr>
        <w:t xml:space="preserve">VII. Questions à poser au Chargé d'Affaires</w:t>
      </w:r>
    </w:p>
    <w:p>
      <w:pPr>
        <w:pStyle w:val="Heading2"/>
        <w:spacing w:after="100" w:before="240"/>
      </w:pPr>
      <w:r>
        <w:rPr>
          <w:b/>
          <w:bCs/>
          <w:color w:val="4B2E83"/>
          <w:sz w:val="24"/>
          <w:szCs w:val="24"/>
        </w:rPr>
        <w:t xml:space="preserve">Sur la structure financière et les engagements bancaires 2025</w:t>
      </w:r>
    </w:p>
    <w:p>
      <w:pPr>
        <w:pStyle w:val="ListParagraph"/>
        <w:numPr>
          <w:ilvl w:val="0"/>
          <w:numId w:val="2"/>
        </w:numPr>
        <w:spacing w:after="100"/>
      </w:pPr>
      <w:r>
        <w:rPr>
          <w:sz w:val="21"/>
          <w:szCs w:val="21"/>
        </w:rPr>
        <w:t xml:space="preserve">Quel est le détail précis des engagements bancaires supplémentaires contractés en 2025 (montants, bailleurs, échéances) qui expliquent le dépassement des trois ratios de solvabilité, gearing et leverage ?</w:t>
      </w:r>
    </w:p>
    <w:p>
      <w:pPr>
        <w:pStyle w:val="ListParagraph"/>
        <w:numPr>
          <w:ilvl w:val="0"/>
          <w:numId w:val="2"/>
        </w:numPr>
        <w:spacing w:after="100"/>
      </w:pPr>
      <w:r>
        <w:rPr>
          <w:sz w:val="21"/>
          <w:szCs w:val="21"/>
        </w:rPr>
        <w:t xml:space="preserve">Une garantie ou lettre de confort du Groupe Guan Chong Berhad accompagne-t-elle ces engagements, ou l'exposition repose-t-elle uniquement sur la filiale ivoirienne ?</w:t>
      </w:r>
    </w:p>
    <w:p>
      <w:pPr>
        <w:pStyle w:val="ListParagraph"/>
        <w:numPr>
          <w:ilvl w:val="0"/>
          <w:numId w:val="2"/>
        </w:numPr>
        <w:spacing w:after="100"/>
      </w:pPr>
      <w:r>
        <w:rPr>
          <w:sz w:val="21"/>
          <w:szCs w:val="21"/>
        </w:rPr>
        <w:t xml:space="preserve">Un plan de retour sous les normes de solvabilité/gearing/leverage est-il envisagé par le client, et à quel horizon ?</w:t>
      </w:r>
    </w:p>
    <w:p>
      <w:pPr>
        <w:pStyle w:val="ListParagraph"/>
        <w:numPr>
          <w:ilvl w:val="0"/>
          <w:numId w:val="2"/>
        </w:numPr>
        <w:spacing w:after="100"/>
      </w:pPr>
      <w:r>
        <w:rPr>
          <w:sz w:val="21"/>
          <w:szCs w:val="21"/>
        </w:rPr>
        <w:t xml:space="preserve">Le reclassement de 32,8 Mrds XOF de dette intragroupe (comptes courants GCBCS et GCCM) de court terme vers long terme a-t-il fait l'objet d'un accord formalisé avec la maison mère, et à quelles conditions (taux, échéance) ?</w:t>
      </w:r>
    </w:p>
    <w:p>
      <w:pPr>
        <w:pStyle w:val="Heading2"/>
        <w:spacing w:after="100" w:before="240"/>
      </w:pPr>
      <w:r>
        <w:rPr>
          <w:b/>
          <w:bCs/>
          <w:color w:val="4B2E83"/>
          <w:sz w:val="24"/>
          <w:szCs w:val="24"/>
        </w:rPr>
        <w:t xml:space="preserve">Sur la liquidité et le besoin en fonds de roulement</w:t>
      </w:r>
    </w:p>
    <w:p>
      <w:pPr>
        <w:pStyle w:val="ListParagraph"/>
        <w:numPr>
          <w:ilvl w:val="0"/>
          <w:numId w:val="2"/>
        </w:numPr>
        <w:spacing w:after="100"/>
      </w:pPr>
      <w:r>
        <w:rPr>
          <w:sz w:val="21"/>
          <w:szCs w:val="21"/>
        </w:rPr>
        <w:t xml:space="preserve">Quelles mesures sont envisagées pour résorber la trésorerie nette déficitaire d'environ 59 Mrds XOF constatée en 2025 ?</w:t>
      </w:r>
    </w:p>
    <w:p>
      <w:pPr>
        <w:pStyle w:val="ListParagraph"/>
        <w:numPr>
          <w:ilvl w:val="0"/>
          <w:numId w:val="2"/>
        </w:numPr>
        <w:spacing w:after="100"/>
      </w:pPr>
      <w:r>
        <w:rPr>
          <w:sz w:val="21"/>
          <w:szCs w:val="21"/>
        </w:rPr>
        <w:t xml:space="preserve">Le délai de règlement intragroupe de 90 à 120 jours sur les créances clients est-il négociable à la baisse, ce qui allégerait mécaniquement le BFR ?</w:t>
      </w:r>
    </w:p>
    <w:p>
      <w:pPr>
        <w:pStyle w:val="ListParagraph"/>
        <w:numPr>
          <w:ilvl w:val="0"/>
          <w:numId w:val="2"/>
        </w:numPr>
        <w:spacing w:after="100"/>
      </w:pPr>
      <w:r>
        <w:rPr>
          <w:sz w:val="21"/>
          <w:szCs w:val="21"/>
        </w:rPr>
        <w:t xml:space="preserve">Comment le financement de la phase 2 d'investissement (33 Mrds XOF) sera-t-il structuré, et quel impact anticipé sur le fonds de roulement et la trésorerie nette ?</w:t>
      </w:r>
    </w:p>
    <w:p>
      <w:pPr>
        <w:pStyle w:val="Heading2"/>
        <w:spacing w:after="100" w:before="240"/>
      </w:pPr>
      <w:r>
        <w:rPr>
          <w:b/>
          <w:bCs/>
          <w:color w:val="4B2E83"/>
          <w:sz w:val="24"/>
          <w:szCs w:val="24"/>
        </w:rPr>
        <w:t xml:space="preserve">Sur le risque de marché cacao</w:t>
      </w:r>
    </w:p>
    <w:p>
      <w:pPr>
        <w:pStyle w:val="ListParagraph"/>
        <w:numPr>
          <w:ilvl w:val="0"/>
          <w:numId w:val="2"/>
        </w:numPr>
        <w:spacing w:after="100"/>
      </w:pPr>
      <w:r>
        <w:rPr>
          <w:sz w:val="21"/>
          <w:szCs w:val="21"/>
        </w:rPr>
        <w:t xml:space="preserve">Quelle est la politique de couverture (hedging) du prix du cacao mise en place par GCB Cocoa CI ou par le Groupe, si elle existe, face à la volatilité déjà matérialisée sur la campagne 25/26 ?</w:t>
      </w:r>
    </w:p>
    <w:p>
      <w:pPr>
        <w:pStyle w:val="ListParagraph"/>
        <w:numPr>
          <w:ilvl w:val="0"/>
          <w:numId w:val="2"/>
        </w:numPr>
        <w:spacing w:after="100"/>
      </w:pPr>
      <w:r>
        <w:rPr>
          <w:sz w:val="21"/>
          <w:szCs w:val="21"/>
        </w:rPr>
        <w:t xml:space="preserve">Comment le mécanisme de cost-plus du Groupe absorbe-t-il concrètement un retournement de prix comme celui observé en petite campagne 25/26 ? Le prix de cession à la maison mère est-il ajusté en conséquence ?</w:t>
      </w:r>
    </w:p>
    <w:p>
      <w:pPr>
        <w:pStyle w:val="Heading2"/>
        <w:spacing w:after="100" w:before="240"/>
      </w:pPr>
      <w:r>
        <w:rPr>
          <w:b/>
          <w:bCs/>
          <w:color w:val="4B2E83"/>
          <w:sz w:val="24"/>
          <w:szCs w:val="24"/>
        </w:rPr>
        <w:t xml:space="preserve">Sur la demande en cours</w:t>
      </w:r>
    </w:p>
    <w:p>
      <w:pPr>
        <w:pStyle w:val="ListParagraph"/>
        <w:numPr>
          <w:ilvl w:val="0"/>
          <w:numId w:val="2"/>
        </w:numPr>
        <w:spacing w:after="100"/>
      </w:pPr>
      <w:r>
        <w:rPr>
          <w:sz w:val="21"/>
          <w:szCs w:val="21"/>
        </w:rPr>
        <w:t xml:space="preserve">Quel est l'objet précis de la sollicitation actuelle et comment s'articule-t-elle avec les non-conformités déjà constatées sur la structure financière ?</w:t>
      </w:r>
    </w:p>
    <w:p>
      <w:pPr>
        <w:pStyle w:val="ListParagraph"/>
        <w:numPr>
          <w:ilvl w:val="0"/>
          <w:numId w:val="2"/>
        </w:numPr>
        <w:spacing w:after="100"/>
      </w:pPr>
      <w:r>
        <w:rPr>
          <w:sz w:val="21"/>
          <w:szCs w:val="21"/>
        </w:rPr>
        <w:t xml:space="preserve">Des covenants renforcés (solvabilité, gearing, leverage, reporting trimestriel du BFR) peuvent-ils être proposés à l'institution en contrepartie de l'engagement ?</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2026-07-24T10:01:05.976Z</dcterms:created>
  <dcterms:modified xsi:type="dcterms:W3CDTF">2026-07-24T10:01:05.989Z</dcterms:modified>
</cp:coreProperties>
</file>

<file path=docProps/custom.xml><?xml version="1.0" encoding="utf-8"?>
<Properties xmlns="http://schemas.openxmlformats.org/officeDocument/2006/custom-properties" xmlns:vt="http://schemas.openxmlformats.org/officeDocument/2006/docPropsVTypes"/>
</file>