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8E9D5" w14:textId="77777777" w:rsidR="009A2931" w:rsidRPr="009A2931" w:rsidRDefault="009A2931" w:rsidP="009A2931">
      <w:r w:rsidRPr="009A2931">
        <w:t>Tu as raison. La version en 10 points et la version en 2 blocs ont perdu de la substance analytique. Voici la version consolidée qui garde la profondeur de l'analyse initiale mais structurée en 2 blocs denses.</w:t>
      </w:r>
    </w:p>
    <w:p w14:paraId="17DF57DD" w14:textId="77777777" w:rsidR="009A2931" w:rsidRPr="009A2931" w:rsidRDefault="009A2931" w:rsidP="009A2931">
      <w:r w:rsidRPr="009A2931">
        <w:pict w14:anchorId="42D97040">
          <v:rect id="_x0000_i1043" style="width:0;height:1.5pt" o:hralign="center" o:hrstd="t" o:hr="t" fillcolor="#a0a0a0" stroked="f"/>
        </w:pict>
      </w:r>
    </w:p>
    <w:p w14:paraId="6E3A77B3" w14:textId="77777777" w:rsidR="009A2931" w:rsidRPr="009A2931" w:rsidRDefault="009A2931" w:rsidP="009A2931">
      <w:pPr>
        <w:rPr>
          <w:b/>
          <w:bCs/>
        </w:rPr>
      </w:pPr>
      <w:r w:rsidRPr="009A2931">
        <w:rPr>
          <w:b/>
          <w:bCs/>
        </w:rPr>
        <w:t>EXERCICE 2024 — AUDITÉ</w:t>
      </w:r>
    </w:p>
    <w:p w14:paraId="540EF3A1" w14:textId="77777777" w:rsidR="009A2931" w:rsidRPr="009A2931" w:rsidRDefault="009A2931" w:rsidP="009A2931">
      <w:pPr>
        <w:jc w:val="both"/>
      </w:pPr>
      <w:r w:rsidRPr="009A2931">
        <w:t xml:space="preserve">Le rebond du CA à 38 818 M XOF (+7,6%) est réel mais sa qualité est à nuancer : l'amélioration de la marge brute à 40% repose en grande partie sur la mobilisation des stocks antérieurs qui comprime artificiellement les achats consommés à 63% du CA. Ce gain n'est pas le fruit d'une amélioration de la compétitivité prix ou d'une renégociation des conditions d'approvisionnement — il sera testé dès que les stocks seront normalisés. La rigidité des charges d'exploitation, qui plafonne le taux d'EBE à 17% quelle que soit la dynamique du CA, confirme un levier opérationnel structurellement limité. Ce qui est en revanche indiscutablement positif, c'est la MBA à 5 173 M XOF (+21%) qui couvre la charge financière à 8,9x : la société génère suffisamment de cash opérationnel pour honorer sa dette sans y consacrer sa substance. C'est d'ailleurs ce que traduit le bilan — désendettement continu à 8 262 M XOF (-24% sur la période), </w:t>
      </w:r>
      <w:proofErr w:type="spellStart"/>
      <w:r w:rsidRPr="009A2931">
        <w:t>gearing</w:t>
      </w:r>
      <w:proofErr w:type="spellEnd"/>
      <w:r w:rsidRPr="009A2931">
        <w:t xml:space="preserve"> à 0,50x, </w:t>
      </w:r>
      <w:proofErr w:type="spellStart"/>
      <w:r w:rsidRPr="009A2931">
        <w:t>leverage</w:t>
      </w:r>
      <w:proofErr w:type="spellEnd"/>
      <w:r w:rsidRPr="009A2931">
        <w:t xml:space="preserve"> à 1,3x, ressources propres à 27,6% du bilan au-dessus du seuil normatif de 25%, renforcées par la mise en réserve systématique des bénéfices sans extraction de dividendes. La marge nette à 7,2% est toutefois partiellement soutenue par des reprises de provisions non récurrentes dont la nature exacte reste à clarifier. Le risque du dossier n'est pas là : il est concentré sur la liquidité. La trésorerie se dégrade brutalement à -3 102 M XOF sous l'effet d'un BFR atteignant 246 jours de CA, porté par des délais clients à 181 jours imposés par SODECI, CIE et ISTD dont les délais de paiement excèdent structurellement 8 mois. La SIPPEC finance en réalité la trésorerie de ses donneurs d'ordre publics sur ses propres fonds. La remontée de la part CT de l'endettement à 42% contre 19% en 2023 confirme le glissement vers les concours bancaires courts pour absorber ce BFR. La réponse de la SIPPEC — allongement des délais fournisseurs à 133 jours — est rationnelle mais approche ses limites et expose les relations avec les fournisseurs stratégiques. </w:t>
      </w:r>
      <w:r w:rsidRPr="009A2931">
        <w:rPr>
          <w:b/>
          <w:bCs/>
        </w:rPr>
        <w:t>La SIPPEC est une société solvable avec un problème de liquidité chronique structurellement lié à sa clientèle publique. La banque est positionnée comme financeur permanent de son cycle d'exploitation, ce qui signifie que l'encours a vocation à progresser avec le CA, pas à se réduire.</w:t>
      </w:r>
      <w:r w:rsidRPr="009A2931">
        <w:t xml:space="preserve"> Le CCA bloqué à 25 057 M XOF (44% du passif) est une ressource permanente déterminante — sans elle, la structure bilancielle serait compromise. Sa durée de blocage contractuelle constitue un point de contrôle non négociable.</w:t>
      </w:r>
    </w:p>
    <w:p w14:paraId="5CA54D04" w14:textId="77777777" w:rsidR="009A2931" w:rsidRPr="009A2931" w:rsidRDefault="009A2931" w:rsidP="009A2931">
      <w:r w:rsidRPr="009A2931">
        <w:pict w14:anchorId="2AB4103C">
          <v:rect id="_x0000_i1044" style="width:0;height:1.5pt" o:hralign="center" o:hrstd="t" o:hr="t" fillcolor="#a0a0a0" stroked="f"/>
        </w:pict>
      </w:r>
    </w:p>
    <w:p w14:paraId="4C887103" w14:textId="77777777" w:rsidR="009A2931" w:rsidRPr="009A2931" w:rsidRDefault="009A2931" w:rsidP="009A2931">
      <w:pPr>
        <w:rPr>
          <w:b/>
          <w:bCs/>
        </w:rPr>
      </w:pPr>
      <w:r w:rsidRPr="009A2931">
        <w:rPr>
          <w:b/>
          <w:bCs/>
        </w:rPr>
        <w:t>EXERCICE 2025 — PROVISOIRE</w:t>
      </w:r>
    </w:p>
    <w:p w14:paraId="296462C6" w14:textId="77777777" w:rsidR="009A2931" w:rsidRPr="009A2931" w:rsidRDefault="009A2931" w:rsidP="009A2931">
      <w:r w:rsidRPr="009A2931">
        <w:t xml:space="preserve">Les provisoires 2025 confirment la trajectoire commerciale avec un CA à 43 106 M XOF (+11%) sur effet volume exclusif. Le maintien du taux d'EBE à 17% et la progression de la MBA à 5 857 M XOF (+13%) couvrant les frais financiers à 9,1x confirment la robustesse opérationnelle. La marge nette à 8,1% est le signal qualitatif le plus important de l'exercice : contrairement à 2024, cette amélioration ne repose pas sur des éléments exceptionnels mais sur la maîtrise récurrente des charges — </w:t>
      </w:r>
      <w:r w:rsidRPr="009A2931">
        <w:rPr>
          <w:b/>
          <w:bCs/>
        </w:rPr>
        <w:t>c'est la première fois sur la période que la rentabilité nette est structurellement propre.</w:t>
      </w:r>
      <w:r w:rsidRPr="009A2931">
        <w:t xml:space="preserve"> Les fonds propres progressent à 20 126 M XOF (28,5% du bilan, +21%) et le </w:t>
      </w:r>
      <w:proofErr w:type="spellStart"/>
      <w:r w:rsidRPr="009A2931">
        <w:t>gearing</w:t>
      </w:r>
      <w:proofErr w:type="spellEnd"/>
      <w:r w:rsidRPr="009A2931">
        <w:t xml:space="preserve"> s'améliore encore à 0,44x malgré la légère hausse de l'endettement brut à 8 782 M XOF — preuve que le renforcement des fonds propres absorbe l'endettement supplémentaire. Sur la trésorerie, l'amélioration à -1 014 M XOF (+2 088 M XOF vs 2024) mérite une lecture critique : le BFR continue de progresser à 29 621 M XOF (251 jours de CA) et la réduction des délais clients de 181 à 153 jours, encourageante, reste à confirmer sur exercice audité. Ce qui améliore la trésorerie, c'est la progression du FDR portée par l'accumulation </w:t>
      </w:r>
      <w:proofErr w:type="gramStart"/>
      <w:r w:rsidRPr="009A2931">
        <w:t>de</w:t>
      </w:r>
      <w:proofErr w:type="gramEnd"/>
      <w:r w:rsidRPr="009A2931">
        <w:t xml:space="preserve"> fonds propres — autrement dit, c'est la rentabilité passée qui comble temporairement le déficit, </w:t>
      </w:r>
      <w:r w:rsidRPr="009A2931">
        <w:lastRenderedPageBreak/>
        <w:t xml:space="preserve">pas une amélioration structurelle du cycle d'exploitation. Ce mécanisme a une limite claire : si le CA continue de croître à 10-11% annuels sans compression durable du BFR, les besoins de financement du cycle progresseront mécaniquement et la trésorerie se redégradera dès que la croissance des fonds propres ne suffira plus à compenser. </w:t>
      </w:r>
      <w:r w:rsidRPr="009A2931">
        <w:rPr>
          <w:b/>
          <w:bCs/>
        </w:rPr>
        <w:t>La question centrale pour 2025 et au-delà n'est donc pas de savoir si la SIPPEC est rentable — elle l'est — mais si elle parviendra à obtenir des délais de paiement contractuellement encadrés avec ses clients publics. Sans cela, la croissance de l'activité aggravera structurellement le besoin de financement bancaire.</w:t>
      </w:r>
    </w:p>
    <w:p w14:paraId="0B2E01E0" w14:textId="77777777" w:rsidR="009A2931" w:rsidRPr="009A2931" w:rsidRDefault="009A2931" w:rsidP="009A2931">
      <w:r w:rsidRPr="009A2931">
        <w:pict w14:anchorId="58DF9521">
          <v:rect id="_x0000_i1045" style="width:0;height:1.5pt" o:hralign="center" o:hrstd="t" o:hr="t" fillcolor="#a0a0a0" stroked="f"/>
        </w:pict>
      </w:r>
    </w:p>
    <w:p w14:paraId="7F0AADD6" w14:textId="77777777" w:rsidR="009A2931" w:rsidRPr="009A2931" w:rsidRDefault="009A2931" w:rsidP="009A2931">
      <w:pPr>
        <w:rPr>
          <w:b/>
          <w:bCs/>
        </w:rPr>
      </w:pPr>
      <w:r w:rsidRPr="009A2931">
        <w:rPr>
          <w:b/>
          <w:bCs/>
        </w:rPr>
        <w:t>QUESTIONS AU CHARGÉ D'AFFAIRES</w:t>
      </w:r>
    </w:p>
    <w:p w14:paraId="57BBE52D" w14:textId="77777777" w:rsidR="009A2931" w:rsidRPr="009A2931" w:rsidRDefault="009A2931" w:rsidP="009A2931">
      <w:r w:rsidRPr="009A2931">
        <w:rPr>
          <w:b/>
          <w:bCs/>
        </w:rPr>
        <w:t>Prioritaires</w:t>
      </w:r>
    </w:p>
    <w:p w14:paraId="5E53C1B1" w14:textId="77777777" w:rsidR="009A2931" w:rsidRPr="009A2931" w:rsidRDefault="009A2931" w:rsidP="009A2931">
      <w:pPr>
        <w:numPr>
          <w:ilvl w:val="0"/>
          <w:numId w:val="1"/>
        </w:numPr>
      </w:pPr>
      <w:r w:rsidRPr="009A2931">
        <w:rPr>
          <w:b/>
          <w:bCs/>
        </w:rPr>
        <w:t>CCA bloqué :</w:t>
      </w:r>
      <w:r w:rsidRPr="009A2931">
        <w:t xml:space="preserve"> Quelle est la durée contractuelle de blocage des 25 057 M XOF ? Dispose-t-on d'un acte de prorogation récent ? Ce montant est-il susceptible d'être débloqué à court terme et est-il rémunéré ?</w:t>
      </w:r>
    </w:p>
    <w:p w14:paraId="4E3A950B" w14:textId="77777777" w:rsidR="009A2931" w:rsidRPr="009A2931" w:rsidRDefault="009A2931" w:rsidP="009A2931">
      <w:pPr>
        <w:numPr>
          <w:ilvl w:val="0"/>
          <w:numId w:val="1"/>
        </w:numPr>
      </w:pPr>
      <w:r w:rsidRPr="009A2931">
        <w:rPr>
          <w:b/>
          <w:bCs/>
        </w:rPr>
        <w:t>Concentration clients :</w:t>
      </w:r>
      <w:r w:rsidRPr="009A2931">
        <w:t xml:space="preserve"> Quelle est la part de SODECI/CIE/ISTD dans les créances clients de 19 247 M XOF en 2024 ? Dispose-t-on d'un état d'ancienneté des créances ? Y a-t-il des créances douteuses non provisionnées ?</w:t>
      </w:r>
    </w:p>
    <w:p w14:paraId="3874967F" w14:textId="77777777" w:rsidR="009A2931" w:rsidRPr="009A2931" w:rsidRDefault="009A2931" w:rsidP="009A2931">
      <w:pPr>
        <w:numPr>
          <w:ilvl w:val="0"/>
          <w:numId w:val="1"/>
        </w:numPr>
      </w:pPr>
      <w:r w:rsidRPr="009A2931">
        <w:rPr>
          <w:b/>
          <w:bCs/>
        </w:rPr>
        <w:t>Dette CT :</w:t>
      </w:r>
      <w:r w:rsidRPr="009A2931">
        <w:t xml:space="preserve"> La remontée de la part CT à 42% de l'endettement — s'agit-il de lignes documentaires ou de CBC ? Quelle est la répartition précise au sein du pool et la part actuelle de SGCI ? Y a-t-il des échéances MLT significatives sur 2025-2026 ?</w:t>
      </w:r>
    </w:p>
    <w:p w14:paraId="6BBE5542" w14:textId="77777777" w:rsidR="009A2931" w:rsidRPr="009A2931" w:rsidRDefault="009A2931" w:rsidP="009A2931">
      <w:r w:rsidRPr="009A2931">
        <w:rPr>
          <w:b/>
          <w:bCs/>
        </w:rPr>
        <w:t>Complémentaires</w:t>
      </w:r>
    </w:p>
    <w:p w14:paraId="7FD9BDFB" w14:textId="77777777" w:rsidR="009A2931" w:rsidRPr="009A2931" w:rsidRDefault="009A2931" w:rsidP="009A2931">
      <w:pPr>
        <w:numPr>
          <w:ilvl w:val="0"/>
          <w:numId w:val="2"/>
        </w:numPr>
      </w:pPr>
      <w:r w:rsidRPr="009A2931">
        <w:t>Les reprises de provisions ayant amélioré le résultat financier 2024 — sur quels actifs portent-elles et sont-elles définitivement soldées ?</w:t>
      </w:r>
    </w:p>
    <w:p w14:paraId="5F5A53DF" w14:textId="77777777" w:rsidR="009A2931" w:rsidRPr="009A2931" w:rsidRDefault="009A2931" w:rsidP="009A2931">
      <w:pPr>
        <w:numPr>
          <w:ilvl w:val="0"/>
          <w:numId w:val="2"/>
        </w:numPr>
      </w:pPr>
      <w:r w:rsidRPr="009A2931">
        <w:t>Le gain de marge brute 2024 repose-t-il uniquement sur le déstockage ou y a-t-il eu une révision tarifaire ? Quel est le niveau et la composition du stock à date ?</w:t>
      </w:r>
    </w:p>
    <w:p w14:paraId="27507E6F" w14:textId="77777777" w:rsidR="009A2931" w:rsidRPr="009A2931" w:rsidRDefault="009A2931" w:rsidP="009A2931">
      <w:pPr>
        <w:numPr>
          <w:ilvl w:val="0"/>
          <w:numId w:val="2"/>
        </w:numPr>
      </w:pPr>
      <w:r w:rsidRPr="009A2931">
        <w:t>La réduction des délais clients de 181 à 153 jours en 2025 — résulte-t-elle d'une négociation contractuelle avec SODECI/CIE/ISTD ou d'un effet de mix clients ponctuel ?</w:t>
      </w:r>
    </w:p>
    <w:p w14:paraId="560F3BCB" w14:textId="77777777" w:rsidR="009A2931" w:rsidRPr="009A2931" w:rsidRDefault="009A2931" w:rsidP="009A2931">
      <w:pPr>
        <w:numPr>
          <w:ilvl w:val="0"/>
          <w:numId w:val="2"/>
        </w:numPr>
      </w:pPr>
      <w:r w:rsidRPr="009A2931">
        <w:t>Le projet d'implantation au Burkina Faso est-il toujours d'actualité compte tenu du contexte sécuritaire ? Quel impact potentiel sur la trésorerie ?</w:t>
      </w:r>
    </w:p>
    <w:p w14:paraId="3619EC4E" w14:textId="3B1CB1A3" w:rsidR="00EE7C79" w:rsidRDefault="00EE7C79"/>
    <w:p w14:paraId="292679F0" w14:textId="77777777" w:rsidR="000C4CAD" w:rsidRDefault="000C4CAD"/>
    <w:p w14:paraId="36968085" w14:textId="77777777" w:rsidR="000C4CAD" w:rsidRDefault="000C4CAD"/>
    <w:p w14:paraId="628348C0" w14:textId="77777777" w:rsidR="000C4CAD" w:rsidRPr="000C4CAD" w:rsidRDefault="000C4CAD" w:rsidP="000C4CAD">
      <w:r w:rsidRPr="000C4CAD">
        <w:rPr>
          <w:b/>
          <w:bCs/>
        </w:rPr>
        <w:t>I. Présentation de la demande</w:t>
      </w:r>
      <w:r w:rsidRPr="000C4CAD">
        <w:t xml:space="preserve"> — 7 critères documentés avec justification pour chaque caractéristique (nature, montant, DVA, durée, objet, revue CMT existant, garanties recommandées).</w:t>
      </w:r>
    </w:p>
    <w:p w14:paraId="618ACD5B" w14:textId="77777777" w:rsidR="000C4CAD" w:rsidRPr="000C4CAD" w:rsidRDefault="000C4CAD" w:rsidP="000C4CAD">
      <w:r w:rsidRPr="000C4CAD">
        <w:rPr>
          <w:b/>
          <w:bCs/>
        </w:rPr>
        <w:t>II. Hypothèses comparées Base vs Dégradé</w:t>
      </w:r>
      <w:r w:rsidRPr="000C4CAD">
        <w:t xml:space="preserve"> — tableau côte à côte avec justification sérieuse pour chaque ligne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365"/>
        <w:gridCol w:w="1188"/>
        <w:gridCol w:w="4386"/>
      </w:tblGrid>
      <w:tr w:rsidR="000C4CAD" w:rsidRPr="000C4CAD" w14:paraId="5BCDB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51392" w14:textId="77777777" w:rsidR="000C4CAD" w:rsidRPr="000C4CAD" w:rsidRDefault="000C4CAD" w:rsidP="000C4CAD">
            <w:pPr>
              <w:rPr>
                <w:b/>
                <w:bCs/>
              </w:rPr>
            </w:pPr>
            <w:r w:rsidRPr="000C4CAD">
              <w:rPr>
                <w:b/>
                <w:bCs/>
              </w:rPr>
              <w:t>Hypothèse</w:t>
            </w:r>
          </w:p>
        </w:tc>
        <w:tc>
          <w:tcPr>
            <w:tcW w:w="0" w:type="auto"/>
            <w:vAlign w:val="center"/>
            <w:hideMark/>
          </w:tcPr>
          <w:p w14:paraId="68FC9703" w14:textId="77777777" w:rsidR="000C4CAD" w:rsidRPr="000C4CAD" w:rsidRDefault="000C4CAD" w:rsidP="000C4CAD">
            <w:pPr>
              <w:rPr>
                <w:b/>
                <w:bCs/>
              </w:rPr>
            </w:pPr>
            <w:r w:rsidRPr="000C4CAD">
              <w:rPr>
                <w:b/>
                <w:bCs/>
              </w:rPr>
              <w:t>Cas Base</w:t>
            </w:r>
          </w:p>
        </w:tc>
        <w:tc>
          <w:tcPr>
            <w:tcW w:w="0" w:type="auto"/>
            <w:vAlign w:val="center"/>
            <w:hideMark/>
          </w:tcPr>
          <w:p w14:paraId="3D3A392A" w14:textId="77777777" w:rsidR="000C4CAD" w:rsidRPr="000C4CAD" w:rsidRDefault="000C4CAD" w:rsidP="000C4CAD">
            <w:pPr>
              <w:rPr>
                <w:b/>
                <w:bCs/>
              </w:rPr>
            </w:pPr>
            <w:r w:rsidRPr="000C4CAD">
              <w:rPr>
                <w:b/>
                <w:bCs/>
              </w:rPr>
              <w:t>Cas Dégradé</w:t>
            </w:r>
          </w:p>
        </w:tc>
        <w:tc>
          <w:tcPr>
            <w:tcW w:w="0" w:type="auto"/>
            <w:vAlign w:val="center"/>
            <w:hideMark/>
          </w:tcPr>
          <w:p w14:paraId="7DAFC962" w14:textId="77777777" w:rsidR="000C4CAD" w:rsidRPr="000C4CAD" w:rsidRDefault="000C4CAD" w:rsidP="000C4CAD">
            <w:pPr>
              <w:rPr>
                <w:b/>
                <w:bCs/>
              </w:rPr>
            </w:pPr>
            <w:r w:rsidRPr="000C4CAD">
              <w:rPr>
                <w:b/>
                <w:bCs/>
              </w:rPr>
              <w:t>Logique</w:t>
            </w:r>
          </w:p>
        </w:tc>
      </w:tr>
      <w:tr w:rsidR="000C4CAD" w:rsidRPr="000C4CAD" w14:paraId="3A4AE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01F5" w14:textId="77777777" w:rsidR="000C4CAD" w:rsidRPr="000C4CAD" w:rsidRDefault="000C4CAD" w:rsidP="000C4CAD">
            <w:r w:rsidRPr="000C4CAD">
              <w:t>Croissance CA</w:t>
            </w:r>
          </w:p>
        </w:tc>
        <w:tc>
          <w:tcPr>
            <w:tcW w:w="0" w:type="auto"/>
            <w:vAlign w:val="center"/>
            <w:hideMark/>
          </w:tcPr>
          <w:p w14:paraId="3C2408BE" w14:textId="77777777" w:rsidR="000C4CAD" w:rsidRPr="000C4CAD" w:rsidRDefault="000C4CAD" w:rsidP="000C4CAD">
            <w:r w:rsidRPr="000C4CAD">
              <w:t>+2%/+5%/+4%</w:t>
            </w:r>
          </w:p>
        </w:tc>
        <w:tc>
          <w:tcPr>
            <w:tcW w:w="0" w:type="auto"/>
            <w:vAlign w:val="center"/>
            <w:hideMark/>
          </w:tcPr>
          <w:p w14:paraId="4D703ADD" w14:textId="77777777" w:rsidR="000C4CAD" w:rsidRPr="000C4CAD" w:rsidRDefault="000C4CAD" w:rsidP="000C4CAD">
            <w:r w:rsidRPr="000C4CAD">
              <w:rPr>
                <w:b/>
                <w:bCs/>
              </w:rPr>
              <w:t>0% stable</w:t>
            </w:r>
          </w:p>
        </w:tc>
        <w:tc>
          <w:tcPr>
            <w:tcW w:w="0" w:type="auto"/>
            <w:vAlign w:val="center"/>
            <w:hideMark/>
          </w:tcPr>
          <w:p w14:paraId="658F01F4" w14:textId="77777777" w:rsidR="000C4CAD" w:rsidRPr="000C4CAD" w:rsidRDefault="000C4CAD" w:rsidP="000C4CAD">
            <w:r w:rsidRPr="000C4CAD">
              <w:t>CA stable = pression maximale sur couverture</w:t>
            </w:r>
          </w:p>
        </w:tc>
      </w:tr>
      <w:tr w:rsidR="000C4CAD" w:rsidRPr="000C4CAD" w14:paraId="29CF4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09EA" w14:textId="77777777" w:rsidR="000C4CAD" w:rsidRPr="000C4CAD" w:rsidRDefault="000C4CAD" w:rsidP="000C4CAD">
            <w:r w:rsidRPr="000C4CAD">
              <w:lastRenderedPageBreak/>
              <w:t>Achats/CA</w:t>
            </w:r>
          </w:p>
        </w:tc>
        <w:tc>
          <w:tcPr>
            <w:tcW w:w="0" w:type="auto"/>
            <w:vAlign w:val="center"/>
            <w:hideMark/>
          </w:tcPr>
          <w:p w14:paraId="02C34821" w14:textId="77777777" w:rsidR="000C4CAD" w:rsidRPr="000C4CAD" w:rsidRDefault="000C4CAD" w:rsidP="000C4CAD">
            <w:r w:rsidRPr="000C4CAD">
              <w:t>58%</w:t>
            </w:r>
          </w:p>
        </w:tc>
        <w:tc>
          <w:tcPr>
            <w:tcW w:w="0" w:type="auto"/>
            <w:vAlign w:val="center"/>
            <w:hideMark/>
          </w:tcPr>
          <w:p w14:paraId="18B2BF9B" w14:textId="77777777" w:rsidR="000C4CAD" w:rsidRPr="000C4CAD" w:rsidRDefault="000C4CAD" w:rsidP="000C4CAD">
            <w:r w:rsidRPr="000C4CAD">
              <w:rPr>
                <w:b/>
                <w:bCs/>
              </w:rPr>
              <w:t>66%</w:t>
            </w:r>
          </w:p>
        </w:tc>
        <w:tc>
          <w:tcPr>
            <w:tcW w:w="0" w:type="auto"/>
            <w:vAlign w:val="center"/>
            <w:hideMark/>
          </w:tcPr>
          <w:p w14:paraId="1C6D57D5" w14:textId="77777777" w:rsidR="000C4CAD" w:rsidRPr="000C4CAD" w:rsidRDefault="000C4CAD" w:rsidP="000C4CAD">
            <w:r w:rsidRPr="000C4CAD">
              <w:t>Normalisation vs effet déstockage 2024</w:t>
            </w:r>
          </w:p>
        </w:tc>
      </w:tr>
      <w:tr w:rsidR="000C4CAD" w:rsidRPr="000C4CAD" w14:paraId="6CD10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B9B6" w14:textId="77777777" w:rsidR="000C4CAD" w:rsidRPr="000C4CAD" w:rsidRDefault="000C4CAD" w:rsidP="000C4CAD">
            <w:r w:rsidRPr="000C4CAD">
              <w:t>FP/CA</w:t>
            </w:r>
          </w:p>
        </w:tc>
        <w:tc>
          <w:tcPr>
            <w:tcW w:w="0" w:type="auto"/>
            <w:vAlign w:val="center"/>
            <w:hideMark/>
          </w:tcPr>
          <w:p w14:paraId="418E4705" w14:textId="77777777" w:rsidR="000C4CAD" w:rsidRPr="000C4CAD" w:rsidRDefault="000C4CAD" w:rsidP="000C4CAD">
            <w:r w:rsidRPr="000C4CAD">
              <w:t>10-10,1%</w:t>
            </w:r>
          </w:p>
        </w:tc>
        <w:tc>
          <w:tcPr>
            <w:tcW w:w="0" w:type="auto"/>
            <w:vAlign w:val="center"/>
            <w:hideMark/>
          </w:tcPr>
          <w:p w14:paraId="0A4764BC" w14:textId="77777777" w:rsidR="000C4CAD" w:rsidRPr="000C4CAD" w:rsidRDefault="000C4CAD" w:rsidP="000C4CAD">
            <w:r w:rsidRPr="000C4CAD">
              <w:rPr>
                <w:b/>
                <w:bCs/>
              </w:rPr>
              <w:t>13%</w:t>
            </w:r>
          </w:p>
        </w:tc>
        <w:tc>
          <w:tcPr>
            <w:tcW w:w="0" w:type="auto"/>
            <w:vAlign w:val="center"/>
            <w:hideMark/>
          </w:tcPr>
          <w:p w14:paraId="6FF03292" w14:textId="77777777" w:rsidR="000C4CAD" w:rsidRPr="000C4CAD" w:rsidRDefault="000C4CAD" w:rsidP="000C4CAD">
            <w:r w:rsidRPr="000C4CAD">
              <w:t>Plan d'expansion 600→3000 employés</w:t>
            </w:r>
          </w:p>
        </w:tc>
      </w:tr>
      <w:tr w:rsidR="000C4CAD" w:rsidRPr="000C4CAD" w14:paraId="517EB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C33C" w14:textId="77777777" w:rsidR="000C4CAD" w:rsidRPr="000C4CAD" w:rsidRDefault="000C4CAD" w:rsidP="000C4CAD">
            <w:r w:rsidRPr="000C4CAD">
              <w:t>CE/CA</w:t>
            </w:r>
          </w:p>
        </w:tc>
        <w:tc>
          <w:tcPr>
            <w:tcW w:w="0" w:type="auto"/>
            <w:vAlign w:val="center"/>
            <w:hideMark/>
          </w:tcPr>
          <w:p w14:paraId="6DC3AB09" w14:textId="77777777" w:rsidR="000C4CAD" w:rsidRPr="000C4CAD" w:rsidRDefault="000C4CAD" w:rsidP="000C4CAD">
            <w:r w:rsidRPr="000C4CAD">
              <w:t>10,8-11%</w:t>
            </w:r>
          </w:p>
        </w:tc>
        <w:tc>
          <w:tcPr>
            <w:tcW w:w="0" w:type="auto"/>
            <w:vAlign w:val="center"/>
            <w:hideMark/>
          </w:tcPr>
          <w:p w14:paraId="06857B19" w14:textId="77777777" w:rsidR="000C4CAD" w:rsidRPr="000C4CAD" w:rsidRDefault="000C4CAD" w:rsidP="000C4CAD">
            <w:r w:rsidRPr="000C4CAD">
              <w:rPr>
                <w:b/>
                <w:bCs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14:paraId="49D02741" w14:textId="77777777" w:rsidR="000C4CAD" w:rsidRPr="000C4CAD" w:rsidRDefault="000C4CAD" w:rsidP="000C4CAD">
            <w:r w:rsidRPr="000C4CAD">
              <w:t>Compromis entre 7% MRAC et 11% client</w:t>
            </w:r>
          </w:p>
        </w:tc>
      </w:tr>
      <w:tr w:rsidR="000C4CAD" w:rsidRPr="000C4CAD" w14:paraId="69DE8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E8D8" w14:textId="77777777" w:rsidR="000C4CAD" w:rsidRPr="000C4CAD" w:rsidRDefault="000C4CAD" w:rsidP="000C4CAD">
            <w:r w:rsidRPr="000C4CAD">
              <w:t>BFR</w:t>
            </w:r>
          </w:p>
        </w:tc>
        <w:tc>
          <w:tcPr>
            <w:tcW w:w="0" w:type="auto"/>
            <w:vAlign w:val="center"/>
            <w:hideMark/>
          </w:tcPr>
          <w:p w14:paraId="38FA6ACE" w14:textId="77777777" w:rsidR="000C4CAD" w:rsidRPr="000C4CAD" w:rsidRDefault="000C4CAD" w:rsidP="000C4CAD">
            <w:r w:rsidRPr="000C4CAD">
              <w:t>251j</w:t>
            </w:r>
          </w:p>
        </w:tc>
        <w:tc>
          <w:tcPr>
            <w:tcW w:w="0" w:type="auto"/>
            <w:vAlign w:val="center"/>
            <w:hideMark/>
          </w:tcPr>
          <w:p w14:paraId="79E02D7C" w14:textId="77777777" w:rsidR="000C4CAD" w:rsidRPr="000C4CAD" w:rsidRDefault="000C4CAD" w:rsidP="000C4CAD">
            <w:r w:rsidRPr="000C4CAD">
              <w:rPr>
                <w:b/>
                <w:bCs/>
              </w:rPr>
              <w:t>265j</w:t>
            </w:r>
          </w:p>
        </w:tc>
        <w:tc>
          <w:tcPr>
            <w:tcW w:w="0" w:type="auto"/>
            <w:vAlign w:val="center"/>
            <w:hideMark/>
          </w:tcPr>
          <w:p w14:paraId="283DE748" w14:textId="77777777" w:rsidR="000C4CAD" w:rsidRPr="000C4CAD" w:rsidRDefault="000C4CAD" w:rsidP="000C4CAD">
            <w:r w:rsidRPr="000C4CAD">
              <w:t>Délais clients publics + expansion sous-régionale</w:t>
            </w:r>
          </w:p>
        </w:tc>
      </w:tr>
      <w:tr w:rsidR="000C4CAD" w:rsidRPr="000C4CAD" w14:paraId="0CF60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2509" w14:textId="77777777" w:rsidR="000C4CAD" w:rsidRPr="000C4CAD" w:rsidRDefault="000C4CAD" w:rsidP="000C4CAD">
            <w:r w:rsidRPr="000C4CAD">
              <w:t>Capex maintien</w:t>
            </w:r>
          </w:p>
        </w:tc>
        <w:tc>
          <w:tcPr>
            <w:tcW w:w="0" w:type="auto"/>
            <w:vAlign w:val="center"/>
            <w:hideMark/>
          </w:tcPr>
          <w:p w14:paraId="0A1893C7" w14:textId="77777777" w:rsidR="000C4CAD" w:rsidRPr="000C4CAD" w:rsidRDefault="000C4CAD" w:rsidP="000C4CAD">
            <w:r w:rsidRPr="000C4CAD">
              <w:t>700 M/an</w:t>
            </w:r>
          </w:p>
        </w:tc>
        <w:tc>
          <w:tcPr>
            <w:tcW w:w="0" w:type="auto"/>
            <w:vAlign w:val="center"/>
            <w:hideMark/>
          </w:tcPr>
          <w:p w14:paraId="6BE9F409" w14:textId="77777777" w:rsidR="000C4CAD" w:rsidRPr="000C4CAD" w:rsidRDefault="000C4CAD" w:rsidP="000C4CAD">
            <w:r w:rsidRPr="000C4CAD">
              <w:rPr>
                <w:b/>
                <w:bCs/>
              </w:rPr>
              <w:t>700 M/an</w:t>
            </w:r>
          </w:p>
        </w:tc>
        <w:tc>
          <w:tcPr>
            <w:tcW w:w="0" w:type="auto"/>
            <w:vAlign w:val="center"/>
            <w:hideMark/>
          </w:tcPr>
          <w:p w14:paraId="0943E6B3" w14:textId="77777777" w:rsidR="000C4CAD" w:rsidRPr="000C4CAD" w:rsidRDefault="000C4CAD" w:rsidP="000C4CAD">
            <w:r w:rsidRPr="000C4CAD">
              <w:t>Standard 10% coût projet — non compressible</w:t>
            </w:r>
          </w:p>
        </w:tc>
      </w:tr>
    </w:tbl>
    <w:p w14:paraId="550506FC" w14:textId="77777777" w:rsidR="000C4CAD" w:rsidRPr="000C4CAD" w:rsidRDefault="000C4CAD" w:rsidP="000C4CAD">
      <w:r w:rsidRPr="000C4CAD">
        <w:rPr>
          <w:b/>
          <w:bCs/>
        </w:rPr>
        <w:t>III. Projections comparées</w:t>
      </w:r>
      <w:r w:rsidRPr="000C4CAD">
        <w:t xml:space="preserve"> — P&amp;L complet, CFE, DSCR coloré automatiquement (vert ≥1,2x / orange ≥1,0x / rouge &lt;1,0x) sur les 7 années du crédit.</w:t>
      </w:r>
    </w:p>
    <w:p w14:paraId="3CE9E337" w14:textId="77777777" w:rsidR="000C4CAD" w:rsidRPr="000C4CAD" w:rsidRDefault="000C4CAD" w:rsidP="000C4CAD">
      <w:r w:rsidRPr="000C4CAD">
        <w:rPr>
          <w:b/>
          <w:bCs/>
        </w:rPr>
        <w:t>IV. Conclusion analytique</w:t>
      </w:r>
      <w:r w:rsidRPr="000C4CAD">
        <w:t xml:space="preserve"> — 3 blocs : Cas de base </w:t>
      </w:r>
      <w:r w:rsidRPr="000C4CAD">
        <w:rPr>
          <w:rFonts w:ascii="Segoe UI Emoji" w:hAnsi="Segoe UI Emoji" w:cs="Segoe UI Emoji"/>
        </w:rPr>
        <w:t>✅</w:t>
      </w:r>
      <w:r w:rsidRPr="000C4CAD">
        <w:t>, Cas d</w:t>
      </w:r>
      <w:r w:rsidRPr="000C4CAD">
        <w:rPr>
          <w:rFonts w:ascii="Calibri" w:hAnsi="Calibri" w:cs="Calibri"/>
        </w:rPr>
        <w:t>é</w:t>
      </w:r>
      <w:r w:rsidRPr="000C4CAD">
        <w:t>grad</w:t>
      </w:r>
      <w:r w:rsidRPr="000C4CAD">
        <w:rPr>
          <w:rFonts w:ascii="Calibri" w:hAnsi="Calibri" w:cs="Calibri"/>
        </w:rPr>
        <w:t>é</w:t>
      </w:r>
      <w:r w:rsidRPr="000C4CAD">
        <w:t xml:space="preserve"> </w:t>
      </w:r>
      <w:r w:rsidRPr="000C4CAD">
        <w:rPr>
          <w:rFonts w:ascii="Segoe UI Emoji" w:hAnsi="Segoe UI Emoji" w:cs="Segoe UI Emoji"/>
        </w:rPr>
        <w:t>⚠️</w:t>
      </w:r>
      <w:r w:rsidRPr="000C4CAD">
        <w:t xml:space="preserve"> DSCR tendu 2026 puis &gt;1,0x dès 2027, Conclusion globale avec 4 conditions préalables recommandées.</w:t>
      </w:r>
    </w:p>
    <w:p w14:paraId="4B7E61E7" w14:textId="59A9040C" w:rsidR="000C4CAD" w:rsidRDefault="00B14C53">
      <w:r>
        <w:t>-</w:t>
      </w:r>
    </w:p>
    <w:sectPr w:rsidR="000C4C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64B02"/>
    <w:multiLevelType w:val="multilevel"/>
    <w:tmpl w:val="9F2000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8A2B7B"/>
    <w:multiLevelType w:val="multilevel"/>
    <w:tmpl w:val="6E4A6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1799124">
    <w:abstractNumId w:val="1"/>
  </w:num>
  <w:num w:numId="2" w16cid:durableId="146558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931"/>
    <w:rsid w:val="000C4CAD"/>
    <w:rsid w:val="0054468F"/>
    <w:rsid w:val="009A2931"/>
    <w:rsid w:val="00B14C53"/>
    <w:rsid w:val="00EE7C79"/>
    <w:rsid w:val="00FA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430A2"/>
  <w15:chartTrackingRefBased/>
  <w15:docId w15:val="{A9758140-630D-4626-AF69-34A76A47F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A2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2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2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2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2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2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2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2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2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2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2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2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293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293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29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29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29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29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2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2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2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2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2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29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29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293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2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293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29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1097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womblegnon</dc:creator>
  <cp:keywords/>
  <dc:description/>
  <cp:lastModifiedBy>marvin womblegnon</cp:lastModifiedBy>
  <cp:revision>1</cp:revision>
  <dcterms:created xsi:type="dcterms:W3CDTF">2026-06-10T22:47:00Z</dcterms:created>
  <dcterms:modified xsi:type="dcterms:W3CDTF">2026-06-11T00:00:00Z</dcterms:modified>
</cp:coreProperties>
</file>