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ocument_id_proc_9011_rev_6_auto_1648be"/>
      <w:r>
        <w:rPr>
          <w:rFonts w:eastAsia="source serif 4" w:cs="source serif 4" w:ascii="source serif 4" w:hAnsi="source serif 4"/>
          <w:b/>
          <w:color w:val="000000"/>
          <w:sz w:val="39"/>
        </w:rPr>
        <w:t xml:space="preserve">DOCUMENT ID: PROC-9011-REV-6 (Auto Claims First Notice of Loss / FNOL Intake Procedure)</w:t>
      </w:r>
      <w:bookmarkEnd w:id="0"/>
    </w:p>
    <w:p>
      <w:pPr>
        <w:spacing w:line="360" w:after="210" w:lineRule="auto"/>
      </w:pPr>
      <w:r>
        <w:rPr>
          <w:rFonts w:eastAsia="source serif 4" w:cs="source serif 4" w:ascii="source serif 4" w:hAnsi="source serif 4"/>
          <w:color w:val="000000"/>
        </w:rPr>
        <w:t xml:space="preserve">Last Updated: 07/31/2026 14:50:00 EST | Author: KM_Admin_Claims_02 | Status: Approved (Pending Q4 Review)</w:t>
      </w:r>
    </w:p>
    <w:p>
      <w:pPr>
        <w:spacing w:line="360" w:after="210" w:lineRule="auto"/>
      </w:pPr>
      <w:r>
        <w:rPr>
          <w:rFonts w:eastAsia="source serif 4" w:cs="source serif 4" w:ascii="source serif 4" w:hAnsi="source serif 4"/>
          <w:color w:val="000000"/>
        </w:rPr>
        <w:t xml:space="preserve">Supersedes: PROC-9011-REV-5, PROC-9002, MEMO-2025-CAT-INTAKE. Target Audience: Tier 1 Claims Intake, Tier 2 Claims Support, Escalation Desk, Supervisor Queue.</w:t>
      </w:r>
    </w:p>
    <w:p>
      <w:pPr>
        <w:spacing w:line="360" w:after="210" w:lineRule="auto"/>
      </w:pPr>
      <w:r>
        <w:rPr>
          <w:rFonts w:eastAsia="source serif 4" w:cs="source serif 4" w:ascii="source serif 4" w:hAnsi="source serif 4"/>
          <w:b/>
          <w:color w:val="000000"/>
        </w:rPr>
        <w:t xml:space="preserve">Overview &amp; Scope:</w:t>
      </w:r>
      <w:r>
        <w:rPr>
          <w:rFonts w:eastAsia="source serif 4" w:cs="source serif 4" w:ascii="source serif 4" w:hAnsi="source serif 4"/>
          <w:color w:val="000000"/>
        </w:rPr>
        <w:t xml:space="preserve"> This document outlines the mandatory procedural steps, compliance checkpoints, loss-intake sequencing requirements, fraud indicator checks, injury triage rules, and state-specific handling notes required when a policyholder, claimant, or authorized representative reports a new auto loss. Failure to follow the sequence below may result in inaccurate claim setup, delayed assignment, improper disclosure delivery, missed coverage indicators, unnecessary transfers, audit findings, and disciplinary action. This article must be used in conjunction with standard identity verification guidance, catastrophe event handling guidance, and any product-line-specific claim intake bulletins currently in force.</w:t>
      </w:r>
    </w:p>
    <w:p>
      <w:pPr>
        <w:spacing w:line="360" w:after="210" w:lineRule="auto"/>
      </w:pPr>
      <w:r>
        <w:rPr>
          <w:rFonts w:eastAsia="source serif 4" w:cs="source serif 4" w:ascii="source serif 4" w:hAnsi="source serif 4"/>
          <w:b/>
          <w:color w:val="000000"/>
        </w:rPr>
        <w:t xml:space="preserve">Standard Procedure (All Jurisdictions):</w:t>
      </w:r>
      <w:r>
        <w:rPr>
          <w:rFonts w:eastAsia="source serif 4" w:cs="source serif 4" w:ascii="source serif 4" w:hAnsi="source serif 4"/>
          <w:color w:val="000000"/>
        </w:rPr>
        <w:t xml:space="preserve"> Before initiating a new FNOL in the Claims Intake Platform (CIP), the consultant MUST verify the caller identity and relationship to the policy using approved CPN verification procedures (see POL-102 and CLAIM-VERIFY-11 for special handling overrides). After verification, determine whether the caller is reporting a new loss, checking status on an existing claim, or requesting roadside/towing only. If the interaction is a new loss, capture the date and time of loss, garaging location, exact loss location, involved vehicle(s), driver at time of loss, police report status, injuries, witness availability, third-party involvement, drivable status, current vehicle location, tow destination if applicable, and whether photos or video exist. Enter all required details on the Loss Details screen before proceeding to liability, injury, and specialty handling questions. If the customer reports any injuries, emergency response, suspected fraud, hit-and-run, vehicle fire, total loss indicators, attorney representation, or a commercial exposure on a personal line, pause the standard path and follow the escalation rules below. Once intake is complete, the consultant MUST summarize next steps, provide any required disclosures, confirm best contact information, and route the claim to the correct downstream queue.</w:t>
      </w:r>
    </w:p>
    <w:p>
      <w:pPr>
        <w:spacing w:line="360" w:after="210" w:lineRule="auto"/>
      </w:pPr>
      <w:r>
        <w:rPr>
          <w:rFonts w:eastAsia="source serif 4" w:cs="source serif 4" w:ascii="source serif 4" w:hAnsi="source serif 4"/>
          <w:b/>
          <w:color w:val="000000"/>
        </w:rPr>
        <w:t xml:space="preserve">MANDATORY EXPECTATION SETTING SCRIPT (DO NOT SKIP - MUST BE READ WHEN NEW LOSS IS CREATED):</w:t>
      </w:r>
      <w:r>
        <w:rPr>
          <w:rFonts w:eastAsia="source serif 4" w:cs="source serif 4" w:ascii="source serif 4" w:hAnsi="source serif 4"/>
          <w:color w:val="000000"/>
        </w:rPr>
        <w:t xml:space="preserve"> Read the following to the customer: </w:t>
      </w:r>
      <w:r>
        <w:rPr>
          <w:rFonts w:eastAsia="source serif 4" w:cs="source serif 4" w:ascii="source serif 4" w:hAnsi="source serif 4"/>
          <w:i/>
          <w:color w:val="000000"/>
        </w:rPr>
        <w:t xml:space="preserve">"I have documented the reported loss and will submit this claim for handling. A claims representative will review the details, and if additional information is needed, we will contact you using the phone number or email on file. Timeframes can vary based on the type of loss, injuries, vehicle damage, and state-specific requirements."</w:t>
      </w:r>
    </w:p>
    <w:p>
      <w:pPr>
        <w:spacing w:line="360" w:after="210" w:lineRule="auto"/>
      </w:pPr>
      <w:r>
        <w:rPr>
          <w:rFonts w:eastAsia="source serif 4" w:cs="source serif 4" w:ascii="source serif 4" w:hAnsi="source serif 4"/>
          <w:color w:val="000000"/>
        </w:rPr>
        <w:t xml:space="preserve">***** SEVERITY FLAGS, ESCALATION RULES, AND STATE HANDLING NOTES - READ CAREFULLY *****</w:t>
      </w:r>
    </w:p>
    <w:p>
      <w:pPr>
        <w:spacing w:line="360" w:after="210" w:lineRule="auto"/>
      </w:pPr>
      <w:r>
        <w:rPr>
          <w:rFonts w:eastAsia="source serif 4" w:cs="source serif 4" w:ascii="source serif 4" w:hAnsi="source serif 4"/>
          <w:color w:val="000000"/>
        </w:rPr>
        <w:t xml:space="preserve">Consultants must review the policy state and loss circumstances before finalizing claim submission. Do not rely only on the mailing address; use the garaging state and the state where the loss occurred if different.</w:t>
      </w:r>
    </w:p>
    <w:p>
      <w:pPr>
        <w:spacing w:line="360" w:after="210" w:lineRule="auto"/>
      </w:pPr>
      <w:r>
        <w:rPr>
          <w:rFonts w:eastAsia="source serif 4" w:cs="source serif 4" w:ascii="source serif 4" w:hAnsi="source serif 4"/>
          <w:color w:val="000000"/>
        </w:rPr>
        <w:t xml:space="preserve">Alabama (AL): Standard handling applies. Alaska (AK): If weather-related road closure is mentioned, document road condition source if provided by customer. Arizona (AZ): Confirm whether glass-only loss qualifies for fast-track glass handling; if yes, route per glass vendor workflow. Arkansas (AR): Standard procedure. California (CA): CRITICAL: If claimant requests repair guidance, provide the approved repair-choice disclosure and note whether the vehicle is garaged in-state or out-of-state. If injuries are reported, do not speculate on medical payments or liability outcomes. Colorado (CO): Hail or CAT indicators must be tagged before queue assignment. Connecticut (CT): If vehicle is not drivable, document storage location and whether release authorization may be required. Delaware (DE): Standard procedure. Florida (FL): If bodily injury or PIP indicators are present, confirm injury details and route according to Florida injury triage rules. Do not give coverage interpretations outside approved script. Georgia (GA): Standard. Hawaii (HI): Standard. Idaho (ID): Standard. Illinois (IL): Ensure the correct loss cause is selected; do not default to "collision-other" if police report is pending and facts are unclear. Indiana (IN) to Kansas (KS): No special exceptions unless CAT bulletin is active. Kentucky (KY) to Maryland (MD): Standard handling. Massachusetts (MA): If towing or storage is already in progress, advise customer that reimbursement review is subject to policy terms and claim investigation. Michigan (MI): No-fault exposure indicators must be coded accurately before submission. Minnesota (MN): If weather or deer strike is reported, verify comprehensive vs. collision facts carefully. Mississippi (MS) to New Mexico (NM): Standard. New York (NY): If injury is alleged, confirm whether emergency treatment was sought and follow no-fault routing guidance. If towing is requested, document exact tow destination. North Carolina (NC) to Oregon (OR): Standard. Pennsylvania (PA): If limited tort/full tort questions arise, do not interpret legal effect; route to licensed claim handler if needed. Rhode Island (RI) to Tennessee (TN): Standard. Texas (TX): If the customer requests immediate repair facility direction, provide only approved network explanation; do not promise payment timing. Utah (UT) to Wyoming (WY): Standard.</w:t>
      </w:r>
    </w:p>
    <w:p>
      <w:pPr>
        <w:spacing w:line="360" w:after="210" w:lineRule="auto"/>
      </w:pPr>
      <w:r>
        <w:rPr>
          <w:rFonts w:eastAsia="source serif 4" w:cs="source serif 4" w:ascii="source serif 4" w:hAnsi="source serif 4"/>
          <w:b/>
          <w:color w:val="000000"/>
        </w:rPr>
        <w:t xml:space="preserve">Fraud / Special Handling Triggers:</w:t>
      </w:r>
      <w:r>
        <w:rPr>
          <w:rFonts w:eastAsia="source serif 4" w:cs="source serif 4" w:ascii="source serif 4" w:hAnsi="source serif 4"/>
          <w:color w:val="000000"/>
        </w:rPr>
        <w:t xml:space="preserve"> Immediate escalation is required if any of the following are present: conflicting loss facts; caller refuses to identify driver; recent policy inception with same-day loss; multiple prior similar claims; attorney representation at intake; suspected staged accident; vehicle fire with unclear origin; undisclosed commercial use; or request to omit a listed driver from documentation. If fraud suspicion exists, document facts only and do not alert the customer that SIU review may occur.</w:t>
      </w:r>
    </w:p>
    <w:p>
      <w:pPr>
        <w:spacing w:line="360" w:after="210" w:lineRule="auto"/>
      </w:pPr>
      <w:r>
        <w:rPr>
          <w:rFonts w:eastAsia="source serif 4" w:cs="source serif 4" w:ascii="source serif 4" w:hAnsi="source serif 4"/>
          <w:b/>
          <w:color w:val="000000"/>
        </w:rPr>
        <w:t xml:space="preserve">Required Documentation Notes:</w:t>
      </w:r>
      <w:r>
        <w:rPr>
          <w:rFonts w:eastAsia="source serif 4" w:cs="source serif 4" w:ascii="source serif 4" w:hAnsi="source serif 4"/>
          <w:color w:val="000000"/>
        </w:rPr>
        <w:t xml:space="preserve"> Claim notes must clearly capture who called, relationship to policy, summary of reported facts, injury status, police involvement, whether photos are available, whether the vehicle is drivable, and what expectation-setting language was provided. If the caller disconnects before completion, save partial notes and disposition according to incomplete FNOL protocol.</w:t>
      </w:r>
    </w:p>
    <w:p>
      <w:pPr>
        <w:spacing w:line="360" w:after="210" w:lineRule="auto"/>
      </w:pPr>
      <w:r>
        <w:rPr>
          <w:rFonts w:eastAsia="source serif 4" w:cs="source serif 4" w:ascii="source serif 4" w:hAnsi="source serif 4"/>
          <w:color w:val="000000"/>
        </w:rPr>
        <w:t xml:space="preserve">Related Articles: PROC-9012 (Existing Claim Status Inquiries), POL-102 (CPN Verification), CLAIM-SCRIPT-11 (General Claims Disclosures), MEMO-2026-NY-NOFAULT. For injury routing questions, contact the claims triage desk. For system issues, email </w:t>
      </w:r>
      <w:hyperlink r:id="rId5">
        <w:r>
          <w:rPr>
            <w:rFonts w:eastAsia="source sans 3" w:cs="source sans 3" w:ascii="source sans 3" w:hAnsi="source sans 3"/>
            <w:color w:val="#000"/>
            <w:u w:val="single"/>
          </w:rPr>
          <w:t xml:space="preserve">km-support@example.com</w:t>
        </w:r>
      </w:hyperlink>
      <w:r>
        <w:rPr>
          <w:rFonts w:eastAsia="source serif 4" w:cs="source serif 4" w:ascii="source serif 4" w:hAnsi="source serif 4"/>
          <w:color w:val="000000"/>
        </w:rPr>
        <w:t xml:space="preserv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mailto:km-support@example.com"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2026-07-31T18:55:47.703Z</dcterms:created>
  <dcterms:modified xsi:type="dcterms:W3CDTF">2026-07-31T18:55:47.703Z</dcterms:modified>
</cp:coreProperties>
</file>