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ocument_id_serv_7744_rev_8_multi_817088"/>
      <w:r>
        <w:rPr>
          <w:rFonts w:eastAsia="source serif 4" w:cs="source serif 4" w:ascii="source serif 4" w:hAnsi="source serif 4"/>
          <w:b/>
          <w:color w:val="000000"/>
          <w:sz w:val="39"/>
        </w:rPr>
        <w:t xml:space="preserve">DOCUMENT ID: SERV-7744-REV-8 (Multi-Product Service Interaction Handling Guide)</w:t>
      </w:r>
      <w:bookmarkEnd w:id="0"/>
    </w:p>
    <w:p>
      <w:pPr>
        <w:spacing w:line="360" w:after="210" w:lineRule="auto"/>
      </w:pPr>
      <w:r>
        <w:rPr>
          <w:rFonts w:eastAsia="source serif 4" w:cs="source serif 4" w:ascii="source serif 4" w:hAnsi="source serif 4"/>
          <w:color w:val="000000"/>
        </w:rPr>
        <w:t xml:space="preserve">Last Updated: 07/31/2026 14:50:00 EST | Author: KM_Admin_Service_07 | Status: Approved (Pending Annual Governance Review)</w:t>
      </w:r>
    </w:p>
    <w:p>
      <w:pPr>
        <w:spacing w:line="360" w:after="210" w:lineRule="auto"/>
      </w:pPr>
      <w:r>
        <w:rPr>
          <w:rFonts w:eastAsia="source serif 4" w:cs="source serif 4" w:ascii="source serif 4" w:hAnsi="source serif 4"/>
          <w:color w:val="000000"/>
        </w:rPr>
        <w:t xml:space="preserve">Supersedes: SERV-7744-REV-7, SERV-7719, MEMO-2025-BUNDLE-RETENTION. Target Audience: Tier 1 Service, Tier 2 Service, Retention, Escalation, Agency Support.</w:t>
      </w:r>
    </w:p>
    <w:p>
      <w:pPr>
        <w:spacing w:line="360" w:after="210" w:lineRule="auto"/>
      </w:pPr>
      <w:r>
        <w:rPr>
          <w:rFonts w:eastAsia="source serif 4" w:cs="source serif 4" w:ascii="source serif 4" w:hAnsi="source serif 4"/>
          <w:b/>
          <w:color w:val="000000"/>
        </w:rPr>
        <w:t xml:space="preserve">Overview &amp; Scope:</w:t>
      </w:r>
      <w:r>
        <w:rPr>
          <w:rFonts w:eastAsia="source serif 4" w:cs="source serif 4" w:ascii="source serif 4" w:hAnsi="source serif 4"/>
          <w:color w:val="000000"/>
        </w:rPr>
        <w:t xml:space="preserve"> This document outlines the mandatory servicing sequence, bundled product dependency checks, policy-change risk controls, pricing impact disclosures, transfer avoidance rules, and state-specific servicing considerations required when a customer contact affects more than one active product on the household account. Typical scenarios include address changes, driver changes, billing disputes spanning multiple renewal cycles, cancellation requests affecting discounted packages, and account updates where the servicing action on one policy could alter eligibility, premiums, or underwriting status on another. Failure to follow the sequence below may result in inaccurate endorsements, lost discounts without disclosure, duplicate changes across systems, rework, repeat calls, supervisory complaints, and E&amp;O exposure.</w:t>
      </w:r>
    </w:p>
    <w:p>
      <w:pPr>
        <w:spacing w:line="360" w:after="210" w:lineRule="auto"/>
      </w:pPr>
      <w:r>
        <w:rPr>
          <w:rFonts w:eastAsia="source serif 4" w:cs="source serif 4" w:ascii="source serif 4" w:hAnsi="source serif 4"/>
          <w:b/>
          <w:color w:val="000000"/>
        </w:rPr>
        <w:t xml:space="preserve">Standard Procedure (All Jurisdictions):</w:t>
      </w:r>
      <w:r>
        <w:rPr>
          <w:rFonts w:eastAsia="source serif 4" w:cs="source serif 4" w:ascii="source serif 4" w:hAnsi="source serif 4"/>
          <w:color w:val="000000"/>
        </w:rPr>
        <w:t xml:space="preserve"> Before making any policy change for a multi-product customer, the consultant MUST verify identity and review the full active household relationship in the Service Hub. Do not process a requested change based on the single policy the customer mentioned until all active related products have been reviewed for downstream impact. Confirm the reason for contact, identify the customer’s primary requested outcome, and assess whether the change affects rating, eligibility, billing, mortgagee information, lienholder information, garaging, occupancy, or bundle discount qualification. For address changes, verify whether the customer is changing mailing address only, garaging address, property address, or all three. For cancellations, explain whether other active policies will be repriced if bundle eligibility is lost. For driver additions/removals, determine whether any related umbrella or household underwriting rules apply. If more than one system is involved, complete changes in the required sequence published below and summarize all impacts before final confirmation.</w:t>
      </w:r>
    </w:p>
    <w:p>
      <w:pPr>
        <w:spacing w:line="360" w:after="210" w:lineRule="auto"/>
      </w:pPr>
      <w:r>
        <w:rPr>
          <w:rFonts w:eastAsia="source serif 4" w:cs="source serif 4" w:ascii="source serif 4" w:hAnsi="source serif 4"/>
          <w:b/>
          <w:color w:val="000000"/>
        </w:rPr>
        <w:t xml:space="preserve">MANDATORY CROSS-PRODUCT DISCLOSURE SCRIPT (READ WHEN BUNDLED IMPACT MAY OCCUR):</w:t>
      </w:r>
      <w:r>
        <w:rPr>
          <w:rFonts w:eastAsia="source serif 4" w:cs="source serif 4" w:ascii="source serif 4" w:hAnsi="source serif 4"/>
          <w:color w:val="000000"/>
        </w:rPr>
        <w:t xml:space="preserve"> </w:t>
      </w:r>
      <w:r>
        <w:rPr>
          <w:rFonts w:eastAsia="source serif 4" w:cs="source serif 4" w:ascii="source serif 4" w:hAnsi="source serif 4"/>
          <w:i/>
          <w:color w:val="000000"/>
        </w:rPr>
        <w:t xml:space="preserve">"Because you have multiple policies with us, this change may affect pricing, eligibility, or discounts on one or more related products. I will review those impacts with you before I finalize anything so there are no surprises."</w:t>
      </w:r>
    </w:p>
    <w:p>
      <w:pPr>
        <w:spacing w:line="360" w:after="210" w:lineRule="auto"/>
      </w:pPr>
      <w:r>
        <w:rPr>
          <w:rFonts w:eastAsia="source serif 4" w:cs="source serif 4" w:ascii="source serif 4" w:hAnsi="source serif 4"/>
          <w:color w:val="000000"/>
        </w:rPr>
        <w:t xml:space="preserve">***** PRODUCT DEPENDENCY RULES, EXCEPTIONS, AND ESCALATION CONDITIONS - READ CAREFULLY *****</w:t>
      </w:r>
    </w:p>
    <w:p>
      <w:pPr>
        <w:spacing w:line="360" w:after="210" w:lineRule="auto"/>
      </w:pPr>
      <w:r>
        <w:rPr>
          <w:rFonts w:eastAsia="source serif 4" w:cs="source serif 4" w:ascii="source serif 4" w:hAnsi="source serif 4"/>
          <w:color w:val="000000"/>
        </w:rPr>
        <w:t xml:space="preserve">Consultants must review all active bundled relationships before processing a change. Do not assume that product ownership, household composition, or occupancy status has already been synchronized across lines of business.</w:t>
      </w:r>
    </w:p>
    <w:p>
      <w:pPr>
        <w:spacing w:line="360" w:after="210" w:lineRule="auto"/>
      </w:pPr>
      <w:r>
        <w:rPr>
          <w:rFonts w:eastAsia="source serif 4" w:cs="source serif 4" w:ascii="source serif 4" w:hAnsi="source serif 4"/>
          <w:color w:val="000000"/>
        </w:rPr>
        <w:t xml:space="preserve">Auto + Home: Address, occupancy, and driver changes may trigger rating impact across both products. If the home policy reflects owner occupancy and the caller describes tenant occupancy, pause servicing and route per occupancy mismatch guidance. Auto + Umbrella: Vehicle or driver changes may affect umbrella eligibility; review driver household status and excluded-driver implications before binding. Auto + Renters: Bundle discount loss may apply if renters cancels or address is moved to a non-eligible state. Home + Flood: Mortgagee and dwelling address changes must remain aligned; do not update one and promise the other will sync automatically. Recreational Vehicle + Auto: Garaging and seasonal use notes may differ; verify year-round garaging if address is changing. State-specific note - California (CA): If pricing impact is discussed, do not characterize any rate movement as guaranteed until recalculation is complete. Florida (FL): If a customer requests policy cancellation while billing delinquency exists on another active product, do not promise immediate refund timing. New York (NY): If a named insured is being removed from one policy but remains on others, verify licensed-interest and ownership requirements before processing. Texas (TX): Some exclusion or vehicle-specific changes may require addendum or follow-up signature workflow. Illinois (IL): Household driver changes must be checked across all personal auto policies on account before finalization.</w:t>
      </w:r>
    </w:p>
    <w:p>
      <w:pPr>
        <w:spacing w:line="360" w:after="210" w:lineRule="auto"/>
      </w:pPr>
      <w:r>
        <w:rPr>
          <w:rFonts w:eastAsia="source serif 4" w:cs="source serif 4" w:ascii="source serif 4" w:hAnsi="source serif 4"/>
          <w:b/>
          <w:color w:val="000000"/>
        </w:rPr>
        <w:t xml:space="preserve">Required Processing Order:</w:t>
      </w:r>
      <w:r>
        <w:rPr>
          <w:rFonts w:eastAsia="source serif 4" w:cs="source serif 4" w:ascii="source serif 4" w:hAnsi="source serif 4"/>
          <w:color w:val="000000"/>
        </w:rPr>
        <w:t xml:space="preserve"> Scenario A - Household address change: update verified household address data, then product-specific address records, then review rating impact, then summarize any effective dates. Scenario B - Customer cancels renters but wants to keep auto: explain bundle repricing first, document acceptance, then process cancellation. Scenario C - Driver removal from auto with umbrella on file: confirm continued umbrella eligibility before removing the driver. Scenario D - Billing dispute across products: review open balances and due dates by policy before offering any payment guidance.</w:t>
      </w:r>
    </w:p>
    <w:p>
      <w:pPr>
        <w:spacing w:line="360" w:after="210" w:lineRule="auto"/>
      </w:pPr>
      <w:r>
        <w:rPr>
          <w:rFonts w:eastAsia="source serif 4" w:cs="source serif 4" w:ascii="source serif 4" w:hAnsi="source serif 4"/>
          <w:b/>
          <w:color w:val="000000"/>
        </w:rPr>
        <w:t xml:space="preserve">Escalation Triggers:</w:t>
      </w:r>
      <w:r>
        <w:rPr>
          <w:rFonts w:eastAsia="source serif 4" w:cs="source serif 4" w:ascii="source serif 4" w:hAnsi="source serif 4"/>
          <w:color w:val="000000"/>
        </w:rPr>
        <w:t xml:space="preserve"> Supervisor or specialist routing is required for disputed discount removal, cross-product system mismatch, inactive policy shown as active in bundle view, product ownership mismatch, retained customer requesting backdated correction across products, mortgagee/lienholder mismatch, or any complaint that alleges prior representative failed to explain cross-product impact.</w:t>
      </w:r>
    </w:p>
    <w:p>
      <w:pPr>
        <w:spacing w:line="360" w:after="210" w:lineRule="auto"/>
      </w:pPr>
      <w:r>
        <w:rPr>
          <w:rFonts w:eastAsia="source serif 4" w:cs="source serif 4" w:ascii="source serif 4" w:hAnsi="source serif 4"/>
          <w:b/>
          <w:color w:val="000000"/>
        </w:rPr>
        <w:t xml:space="preserve">Documentation Standards:</w:t>
      </w:r>
      <w:r>
        <w:rPr>
          <w:rFonts w:eastAsia="source serif 4" w:cs="source serif 4" w:ascii="source serif 4" w:hAnsi="source serif 4"/>
          <w:color w:val="000000"/>
        </w:rPr>
        <w:t xml:space="preserve"> Service notes must identify all products reviewed, what dependency or discount checks were completed, whether customer was informed of cross-product impacts, which system(s) were updated, and whether follow-up documents or signatures are required. Do not use vague note text such as "updated account per request" if multiple products were reviewed.</w:t>
      </w:r>
    </w:p>
    <w:p>
      <w:pPr>
        <w:spacing w:line="360" w:after="210" w:lineRule="auto"/>
      </w:pPr>
      <w:r>
        <w:rPr>
          <w:rFonts w:eastAsia="source serif 4" w:cs="source serif 4" w:ascii="source serif 4" w:hAnsi="source serif 4"/>
          <w:color w:val="000000"/>
        </w:rPr>
        <w:t xml:space="preserve">Related Articles: SERV-7745 (Address Change Procedures), BILL-220 (Multi-Policy Billing Review), UW-119 (Umbrella Eligibility), SCRIPT-44 (General Service Disclaimers), MEMO-2026-BUNDLE-IMPACT. For bundle-rule questions, contact the multi-product servicing desk. For system issues, email </w:t>
      </w:r>
      <w:hyperlink r:id="rId5">
        <w:r>
          <w:rPr>
            <w:rFonts w:eastAsia="source sans 3" w:cs="source sans 3" w:ascii="source sans 3" w:hAnsi="source sans 3"/>
            <w:color w:val="#000"/>
            <w:u w:val="single"/>
          </w:rPr>
          <w:t xml:space="preserve">km-support@example.com</w:t>
        </w:r>
      </w:hyperlink>
      <w:r>
        <w:rPr>
          <w:rFonts w:eastAsia="source serif 4" w:cs="source serif 4" w:ascii="source serif 4" w:hAnsi="source serif 4"/>
          <w:color w:val="000000"/>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km-support@example.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2026-07-31T18:56:20.240Z</dcterms:created>
  <dcterms:modified xsi:type="dcterms:W3CDTF">2026-07-31T18:56:20.240Z</dcterms:modified>
</cp:coreProperties>
</file>