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document_id_km_1001_rev_12_knowle_b0ed4a"/>
      <w:r>
        <w:rPr>
          <w:rFonts w:eastAsia="source serif 4" w:cs="source serif 4" w:ascii="source serif 4" w:hAnsi="source serif 4"/>
          <w:b/>
          <w:color w:val="000000"/>
          <w:sz w:val="39"/>
        </w:rPr>
        <w:t xml:space="preserve">DOCUMENT ID: KM-1001-REV-12 (Knowledge Article Standards, Templates, and Governance Requirements)</w:t>
      </w:r>
      <w:bookmarkEnd w:id="0"/>
    </w:p>
    <w:p>
      <w:pPr>
        <w:spacing w:line="360" w:after="210" w:lineRule="auto"/>
      </w:pPr>
      <w:r>
        <w:rPr>
          <w:rFonts w:eastAsia="source serif 4" w:cs="source serif 4" w:ascii="source serif 4" w:hAnsi="source serif 4"/>
          <w:color w:val="000000"/>
        </w:rPr>
        <w:t xml:space="preserve">Last Updated: 07/31/2026 14:50:00 EST | Author: Enterprise_KM_Governance | Status: Approved (Pending Policy Committee Review)</w:t>
      </w:r>
    </w:p>
    <w:p>
      <w:pPr>
        <w:spacing w:line="360" w:after="210" w:lineRule="auto"/>
      </w:pPr>
      <w:r>
        <w:rPr>
          <w:rFonts w:eastAsia="source serif 4" w:cs="source serif 4" w:ascii="source serif 4" w:hAnsi="source serif 4"/>
          <w:color w:val="000000"/>
        </w:rPr>
        <w:t xml:space="preserve">Supersedes: KM-1001-REV-11, STYLE-09, GOV-MEMO-2025-KB-HYGIENE. Target Audience: Knowledge Authors, Senior Authors, Reviewers, Approvers, Content Operations Managers, Audit Support.</w:t>
      </w:r>
    </w:p>
    <w:p>
      <w:pPr>
        <w:spacing w:line="360" w:after="210" w:lineRule="auto"/>
      </w:pPr>
      <w:r>
        <w:rPr>
          <w:rFonts w:eastAsia="source serif 4" w:cs="source serif 4" w:ascii="source serif 4" w:hAnsi="source serif 4"/>
          <w:b/>
          <w:color w:val="000000"/>
        </w:rPr>
        <w:t xml:space="preserve">Overview &amp; Scope:</w:t>
      </w:r>
      <w:r>
        <w:rPr>
          <w:rFonts w:eastAsia="source serif 4" w:cs="source serif 4" w:ascii="source serif 4" w:hAnsi="source serif 4"/>
          <w:color w:val="000000"/>
        </w:rPr>
        <w:t xml:space="preserve"> This document establishes the enterprise requirements for creating, formatting, reviewing, approving, publishing, auditing, and maintaining knowledge articles used by front-line operations, support teams, and escalations. It applies to procedures, policy/rule references, scripts, job aids, FAQs, quick-reference materials, and supplemental operational guidance. This standard is mandatory for all knowledge contributors. Failure to adhere to these requirements may result in duplicate content creation, inconsistent customer guidance, broken links, missing metadata, noncompliant disclosures, poor search performance, and publication delays.</w:t>
      </w:r>
    </w:p>
    <w:p>
      <w:pPr>
        <w:spacing w:line="360" w:after="210" w:lineRule="auto"/>
      </w:pPr>
      <w:r>
        <w:rPr>
          <w:rFonts w:eastAsia="source serif 4" w:cs="source serif 4" w:ascii="source serif 4" w:hAnsi="source serif 4"/>
          <w:b/>
          <w:color w:val="000000"/>
        </w:rPr>
        <w:t xml:space="preserve">Article Creation Standard:</w:t>
      </w:r>
      <w:r>
        <w:rPr>
          <w:rFonts w:eastAsia="source serif 4" w:cs="source serif 4" w:ascii="source serif 4" w:hAnsi="source serif 4"/>
          <w:color w:val="000000"/>
        </w:rPr>
        <w:t xml:space="preserve"> Before drafting any new article, the author MUST confirm that the requested content does not already exist in active, draft, or archived form under a different title or business area. Search by key terms, legacy document IDs, known synonyms, and product/state keywords before proceeding. If overlapping content exists, update or consolidate the existing article unless a separate article is explicitly required by governance rules. New articles must be created using the approved template associated with the article type. At minimum, each article must contain a title, summary, scope or applicability, audience, product/business area, state or market applicability where relevant, effective date, review date, owner, approver, procedural body or guidance body, required disclaimers, and related links. The author is responsible for completing all required metadata and validating link accuracy before submitting for review.</w:t>
      </w:r>
    </w:p>
    <w:p>
      <w:pPr>
        <w:spacing w:line="360" w:after="210" w:lineRule="auto"/>
      </w:pPr>
      <w:r>
        <w:rPr>
          <w:rFonts w:eastAsia="source serif 4" w:cs="source serif 4" w:ascii="source serif 4" w:hAnsi="source serif 4"/>
          <w:b/>
          <w:color w:val="000000"/>
        </w:rPr>
        <w:t xml:space="preserve">Article Types and Intended Use:</w:t>
      </w:r>
      <w:r>
        <w:rPr>
          <w:rFonts w:eastAsia="source serif 4" w:cs="source serif 4" w:ascii="source serif 4" w:hAnsi="source serif 4"/>
          <w:color w:val="000000"/>
        </w:rPr>
        <w:t xml:space="preserve"> Procedure articles are used for step-by-step operational handling. Policy/Rule articles are used for eligibility, compliance, or underwriting logic. Script articles are used for required or approved customer-facing language. FAQs are used for short answer retrieval. Job aids are used for quick consultation during live interactions. Authors must not combine multiple unrelated article types into a single long-form article unless approved by content governance due to unavoidable business complexity.</w:t>
      </w:r>
    </w:p>
    <w:p>
      <w:pPr>
        <w:spacing w:line="360" w:after="210" w:lineRule="auto"/>
      </w:pPr>
      <w:r>
        <w:rPr>
          <w:rFonts w:eastAsia="source serif 4" w:cs="source serif 4" w:ascii="source serif 4" w:hAnsi="source serif 4"/>
          <w:b/>
          <w:color w:val="000000"/>
        </w:rPr>
        <w:t xml:space="preserve">Formatting Requirements:</w:t>
      </w:r>
      <w:r>
        <w:rPr>
          <w:rFonts w:eastAsia="source serif 4" w:cs="source serif 4" w:ascii="source serif 4" w:hAnsi="source serif 4"/>
          <w:color w:val="000000"/>
        </w:rPr>
        <w:t xml:space="preserve"> Use action-oriented headings, place the most operationally critical answer near the top, and clearly label state-specific or channel-specific exceptions. Avoid long narrative introductions that delay task completion. If the content includes disclosures or scripts that must be read verbatim, identify them using the approved uppercase warning convention. If the article includes process exceptions, label whether the exception is product-based, state-based, system-based, or role-based. Tables may be used when comparison improves scanability, but tables must not replace explicit instructions when the consultant must follow a sequence.</w:t>
      </w:r>
    </w:p>
    <w:p>
      <w:pPr>
        <w:spacing w:line="360" w:after="210" w:lineRule="auto"/>
      </w:pPr>
      <w:r>
        <w:rPr>
          <w:rFonts w:eastAsia="source serif 4" w:cs="source serif 4" w:ascii="source serif 4" w:hAnsi="source serif 4"/>
          <w:color w:val="000000"/>
        </w:rPr>
        <w:t xml:space="preserve">***** MANDATORY GOVERNANCE RULES - READ CAREFULLY *****</w:t>
      </w:r>
    </w:p>
    <w:p>
      <w:pPr>
        <w:spacing w:line="360" w:after="210" w:lineRule="auto"/>
      </w:pPr>
      <w:r>
        <w:rPr>
          <w:rFonts w:eastAsia="source serif 4" w:cs="source serif 4" w:ascii="source serif 4" w:hAnsi="source serif 4"/>
          <w:color w:val="000000"/>
        </w:rPr>
        <w:t xml:space="preserve">Authors must not publish duplicated standard language if an approved reusable text source already exists. Do not copy and paste disclaimers, compliance wording, or script text from old Word documents unless the current source has been validated. Do not create state-specific articles when a generic article plus state variation can be maintained under a single governance pattern. Do not use abbreviations in titles unless they are approved search synonyms. Do not submit content with placeholder text such as "TBD," "check with supervisor," or "update later." Do not include screenshots when a reusable instructional image or system note already exists, unless the screenshot is specifically required for training accuracy.</w:t>
      </w:r>
    </w:p>
    <w:p>
      <w:pPr>
        <w:spacing w:line="360" w:after="210" w:lineRule="auto"/>
      </w:pPr>
      <w:r>
        <w:rPr>
          <w:rFonts w:eastAsia="source serif 4" w:cs="source serif 4" w:ascii="source serif 4" w:hAnsi="source serif 4"/>
          <w:b/>
          <w:color w:val="000000"/>
        </w:rPr>
        <w:t xml:space="preserve">Review and Approval Process:</w:t>
      </w:r>
      <w:r>
        <w:rPr>
          <w:rFonts w:eastAsia="source serif 4" w:cs="source serif 4" w:ascii="source serif 4" w:hAnsi="source serif 4"/>
          <w:color w:val="000000"/>
        </w:rPr>
        <w:t xml:space="preserve"> Peer review validates operational clarity, structural compliance, duplication risk, and searchability. Business review validates procedural accuracy. Compliance/legal review validates regulated wording when required. Final approval validates readiness for publication and downstream visibility. Content operations performs final QC for metadata completeness, related links, workflow state, and scheduled publication behavior. Emergency changes may use expedited review only when documented in the change log and approved by designated governance authority.</w:t>
      </w:r>
    </w:p>
    <w:p>
      <w:pPr>
        <w:spacing w:line="360" w:after="210" w:lineRule="auto"/>
      </w:pPr>
      <w:r>
        <w:rPr>
          <w:rFonts w:eastAsia="source serif 4" w:cs="source serif 4" w:ascii="source serif 4" w:hAnsi="source serif 4"/>
          <w:b/>
          <w:color w:val="000000"/>
        </w:rPr>
        <w:t xml:space="preserve">Audit and Maintenance Requirements:</w:t>
      </w:r>
      <w:r>
        <w:rPr>
          <w:rFonts w:eastAsia="source serif 4" w:cs="source serif 4" w:ascii="source serif 4" w:hAnsi="source serif 4"/>
          <w:color w:val="000000"/>
        </w:rPr>
        <w:t xml:space="preserve"> Published articles must be reviewed by the documented review date or sooner if triggered by regulatory change, product launch, system enhancement, audit finding, or front-line usability issue. Broken links, duplicate articles, unowned content, or stale references discovered during audit must be remediated within the applicable SLA. Any article with recurring front-line feedback indicating confusion, poor searchability, or outdated instructions must be flagged for rewrite, merge, or retirement.</w:t>
      </w:r>
    </w:p>
    <w:p>
      <w:pPr>
        <w:spacing w:line="360" w:after="210" w:lineRule="auto"/>
      </w:pPr>
      <w:r>
        <w:rPr>
          <w:rFonts w:eastAsia="source serif 4" w:cs="source serif 4" w:ascii="source serif 4" w:hAnsi="source serif 4"/>
          <w:b/>
          <w:color w:val="000000"/>
        </w:rPr>
        <w:t xml:space="preserve">Documentation Notes:</w:t>
      </w:r>
      <w:r>
        <w:rPr>
          <w:rFonts w:eastAsia="source serif 4" w:cs="source serif 4" w:ascii="source serif 4" w:hAnsi="source serif 4"/>
          <w:color w:val="000000"/>
        </w:rPr>
        <w:t xml:space="preserve"> This governance artifact intentionally reflects the dense, legacy style often found in Word or SharePoint environments, where standards, policy, workflow, and exceptions are maintained in a single procedural document rather than in configurable CMS rules.</w:t>
      </w:r>
    </w:p>
    <w:p>
      <w:pPr>
        <w:spacing w:line="360" w:after="210" w:lineRule="auto"/>
      </w:pPr>
      <w:r>
        <w:rPr>
          <w:rFonts w:eastAsia="source serif 4" w:cs="source serif 4" w:ascii="source serif 4" w:hAnsi="source serif 4"/>
          <w:color w:val="000000"/>
        </w:rPr>
        <w:t xml:space="preserve">Related Articles: KM-1002 (Metadata Standards), KM-1003 (Review Workflow Guide), STYLE-10 (Approved Terminology), SCRIPT-CTRL-01 (Reusable Script Governance), MEMO-2026-LINK-HYGIENE. Questions regarding governance exceptions should be routed to the Enterprise KM Governance mailbox. System issues should be reported to </w:t>
      </w:r>
      <w:hyperlink r:id="rId5">
        <w:r>
          <w:rPr>
            <w:rFonts w:eastAsia="source sans 3" w:cs="source sans 3" w:ascii="source sans 3" w:hAnsi="source sans 3"/>
            <w:color w:val="#000"/>
            <w:u w:val="single"/>
          </w:rPr>
          <w:t xml:space="preserve">km-support@example.com</w:t>
        </w:r>
      </w:hyperlink>
      <w:r>
        <w:rPr>
          <w:rFonts w:eastAsia="source serif 4" w:cs="source serif 4" w:ascii="source serif 4" w:hAnsi="source serif 4"/>
          <w:color w:val="000000"/>
        </w:rPr>
        <w:t xml:space="preserv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km-support@example.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2026-07-31T18:56:29.471Z</dcterms:created>
  <dcterms:modified xsi:type="dcterms:W3CDTF">2026-07-31T18:56:29.471Z</dcterms:modified>
</cp:coreProperties>
</file>