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ocument_id_comp_6632_rev_10_stat_d08b20"/>
      <w:r>
        <w:rPr>
          <w:rFonts w:eastAsia="source serif 4" w:cs="source serif 4" w:ascii="source serif 4" w:hAnsi="source serif 4"/>
          <w:b/>
          <w:color w:val="000000"/>
          <w:sz w:val="39"/>
        </w:rPr>
        <w:t xml:space="preserve">DOCUMENT ID: COMP-6632-REV-10 (State-Specific Compliance and Disclosure Matrix for Service and Claims Content)</w:t>
      </w:r>
      <w:bookmarkEnd w:id="0"/>
    </w:p>
    <w:p>
      <w:pPr>
        <w:spacing w:line="360" w:after="210" w:lineRule="auto"/>
      </w:pPr>
      <w:r>
        <w:rPr>
          <w:rFonts w:eastAsia="source serif 4" w:cs="source serif 4" w:ascii="source serif 4" w:hAnsi="source serif 4"/>
          <w:color w:val="000000"/>
        </w:rPr>
        <w:t xml:space="preserve">Last Updated: 07/31/2026 14:50:00 EST | Author: Compliance_KM_Admin | Status: Approved (Pending Legal Q1 Validation)</w:t>
      </w:r>
    </w:p>
    <w:p>
      <w:pPr>
        <w:spacing w:line="360" w:after="210" w:lineRule="auto"/>
      </w:pPr>
      <w:r>
        <w:rPr>
          <w:rFonts w:eastAsia="source serif 4" w:cs="source serif 4" w:ascii="source serif 4" w:hAnsi="source serif 4"/>
          <w:color w:val="000000"/>
        </w:rPr>
        <w:t xml:space="preserve">Supersedes: COMP-6632-REV-9, DISC-MATRIX-2024, MEMO-2025-STATE-LANGUAGE. Target Audience: Knowledge Authors, Compliance Reviewers, Service Operations Leads, Claims Operations Leads, Content Approvers.</w:t>
      </w:r>
    </w:p>
    <w:p>
      <w:pPr>
        <w:spacing w:line="360" w:after="210" w:lineRule="auto"/>
      </w:pPr>
      <w:r>
        <w:rPr>
          <w:rFonts w:eastAsia="source serif 4" w:cs="source serif 4" w:ascii="source serif 4" w:hAnsi="source serif 4"/>
          <w:b/>
          <w:color w:val="000000"/>
        </w:rPr>
        <w:t xml:space="preserve">Overview &amp; Scope:</w:t>
      </w:r>
      <w:r>
        <w:rPr>
          <w:rFonts w:eastAsia="source serif 4" w:cs="source serif 4" w:ascii="source serif 4" w:hAnsi="source serif 4"/>
          <w:color w:val="000000"/>
        </w:rPr>
        <w:t xml:space="preserve"> This document provides the required state-specific disclosures, handling notes, script dependencies, effective-date considerations, and downstream content impacts that must be reflected in operational knowledge content used by front-line teams. It is not intended to replace product-specific procedures or legal memoranda. Instead, it serves as the controlling cross-reference used to validate whether required state language has been incorporated into procedures, scripts, FAQs, job aids, and training support content. Failure to use this matrix during authoring or review may result in omitted disclosures, inconsistent legal wording, improper script deployment, audit findings, customer complaints, regulatory exposure, and retroactive content remediation.</w:t>
      </w:r>
    </w:p>
    <w:p>
      <w:pPr>
        <w:spacing w:line="360" w:after="210" w:lineRule="auto"/>
      </w:pPr>
      <w:r>
        <w:rPr>
          <w:rFonts w:eastAsia="source serif 4" w:cs="source serif 4" w:ascii="source serif 4" w:hAnsi="source serif 4"/>
          <w:b/>
          <w:color w:val="000000"/>
        </w:rPr>
        <w:t xml:space="preserve">Usage Standard:</w:t>
      </w:r>
      <w:r>
        <w:rPr>
          <w:rFonts w:eastAsia="source serif 4" w:cs="source serif 4" w:ascii="source serif 4" w:hAnsi="source serif 4"/>
          <w:color w:val="000000"/>
        </w:rPr>
        <w:t xml:space="preserve"> Authors and reviewers MUST check this matrix whenever a new article or update affects customer-facing language, underwriting logic, claim intake handling, cancellation processing, payment handling, or product eligibility communication. Review the policy state, garaging state, risk location state, and operational scenario before deciding whether a disclosure is required. Do not assume the customer mailing address alone determines applicable language. Where the matrix references a script ID, legal memo, or addendum requirement, that dependency must be validated before publication.</w:t>
      </w:r>
    </w:p>
    <w:p>
      <w:pPr>
        <w:spacing w:line="360" w:after="210" w:lineRule="auto"/>
      </w:pPr>
      <w:r>
        <w:rPr>
          <w:rFonts w:eastAsia="source serif 4" w:cs="source serif 4" w:ascii="source serif 4" w:hAnsi="source serif 4"/>
          <w:b/>
          <w:color w:val="000000"/>
        </w:rPr>
        <w:t xml:space="preserve">State Matrix (Summary View):</w:t>
      </w:r>
      <w:r>
        <w:rPr>
          <w:rFonts w:eastAsia="source serif 4" w:cs="source serif 4" w:ascii="source serif 4" w:hAnsi="source serif 4"/>
          <w:color w:val="000000"/>
        </w:rPr>
        <w:t xml:space="preserve"> Alabama (AL): Standard handling; no additional disclosure unless product memo applies. Alaska (AK): Driver education or seasonal use disclosures may apply depending on line of business. Arizona (AZ): Weather-related exclusion or glass handling wording may be required in specific claim or service contexts. Arkansas (AR): Standard. California (CA): CRITICAL - Prop 103-sensitive pricing, consumer choice, and discount disclosures require strict use of approved script references; do not paraphrase. Colorado (CO): CAT and hail-related claim language may require event-specific routing references. Connecticut (CT): Vehicle damage and waiver limitations may require product-specific notice text. Delaware (DE): Standard. Florida (FL): Driving record, injury/PIP, and cancellation timing language frequently requires state-script validation; do not publish updates without legal review. Georgia (GA): Standard unless underwriting memo applies. Hawaii (HI): Standard. Idaho (ID): Standard. Illinois (IL): Certain system coding or rating impacts require explicit agent/internal instruction in procedures. Indiana (IN) to Kansas (KS): Standard absent product memo. Kentucky (KY) to Maryland (MD): Standard. Massachusetts (MA): Safe driver or regulatory notice language may apply in selected service and claims scenarios. Michigan (MI): No-fault and RMV-related references require scenario validation. Minnesota (MN): PIP or coverage-extension notes may affect operational content. Mississippi (MS) to New Mexico (NM): Standard. New York (NY): Defensive driving, no-fault, and timing-sensitive customer notice requirements must be monitored closely and updated immediately when legal guidance changes. North Carolina (NC) to Oregon (OR): Standard. Pennsylvania (PA): Tiering and tort-election references may require controlled wording. Rhode Island (RI) to Tennessee (TN): Standard. Texas (TX): Signed addendum, acknowledgment, or follow-up document triggers may apply in exclusion or endorsement contexts. Utah (UT) to Wyoming (WY): Standard.</w:t>
      </w:r>
    </w:p>
    <w:p>
      <w:pPr>
        <w:spacing w:line="360" w:after="210" w:lineRule="auto"/>
      </w:pPr>
      <w:r>
        <w:rPr>
          <w:rFonts w:eastAsia="source serif 4" w:cs="source serif 4" w:ascii="source serif 4" w:hAnsi="source serif 4"/>
          <w:b/>
          <w:color w:val="000000"/>
        </w:rPr>
        <w:t xml:space="preserve">Downstream Content Impact Rules:</w:t>
      </w:r>
      <w:r>
        <w:rPr>
          <w:rFonts w:eastAsia="source serif 4" w:cs="source serif 4" w:ascii="source serif 4" w:hAnsi="source serif 4"/>
          <w:color w:val="000000"/>
        </w:rPr>
        <w:t xml:space="preserve"> When a state-specific change is approved, authors must identify every affected procedure, FAQ, script, job aid, and training support article. It is not sufficient to update only the primary procedural article if a required disclosure also appears in a script article or quick-reference aid. If a disclosure is deprecated, remove or replace the language everywhere it appears and record the effective date in the change log. If a disclosure is date-bound, verify that active date ranges and superseded references are documented before publication.</w:t>
      </w:r>
    </w:p>
    <w:p>
      <w:pPr>
        <w:spacing w:line="360" w:after="210" w:lineRule="auto"/>
      </w:pPr>
      <w:r>
        <w:rPr>
          <w:rFonts w:eastAsia="source serif 4" w:cs="source serif 4" w:ascii="source serif 4" w:hAnsi="source serif 4"/>
          <w:b/>
          <w:color w:val="000000"/>
        </w:rPr>
        <w:t xml:space="preserve">Change Management Sequence:</w:t>
      </w:r>
      <w:r>
        <w:rPr>
          <w:rFonts w:eastAsia="source serif 4" w:cs="source serif 4" w:ascii="source serif 4" w:hAnsi="source serif 4"/>
          <w:color w:val="000000"/>
        </w:rPr>
        <w:t xml:space="preserve"> Compliance identifies change -&gt; KM logs impact -&gt; owning business area validates operational usage -&gt; required script or article revisions are drafted -&gt; legal/compliance approves wording -&gt; content operations publishes in sequence -&gt; audit sample confirms downstream consistency. Emergency legal updates must be prioritized over routine content optimization work.</w:t>
      </w:r>
    </w:p>
    <w:p>
      <w:pPr>
        <w:spacing w:line="360" w:after="210" w:lineRule="auto"/>
      </w:pPr>
      <w:r>
        <w:rPr>
          <w:rFonts w:eastAsia="source serif 4" w:cs="source serif 4" w:ascii="source serif 4" w:hAnsi="source serif 4"/>
          <w:b/>
          <w:color w:val="000000"/>
        </w:rPr>
        <w:t xml:space="preserve">Key Risks / Common Failures:</w:t>
      </w:r>
      <w:r>
        <w:rPr>
          <w:rFonts w:eastAsia="source serif 4" w:cs="source serif 4" w:ascii="source serif 4" w:hAnsi="source serif 4"/>
          <w:color w:val="000000"/>
        </w:rPr>
        <w:t xml:space="preserve"> outdated script IDs remaining in active articles; state-specific language buried inside generic procedures; authors paraphrasing required wording; delayed propagation of changes to job aids; lack of visibility into which live articles consume a disclosure; and inability to prove which language was active on a specific date.</w:t>
      </w:r>
    </w:p>
    <w:p>
      <w:pPr>
        <w:spacing w:line="360" w:after="210" w:lineRule="auto"/>
      </w:pPr>
      <w:r>
        <w:rPr>
          <w:rFonts w:eastAsia="source serif 4" w:cs="source serif 4" w:ascii="source serif 4" w:hAnsi="source serif 4"/>
          <w:b/>
          <w:color w:val="000000"/>
        </w:rPr>
        <w:t xml:space="preserve">Documentation Notes:</w:t>
      </w:r>
      <w:r>
        <w:rPr>
          <w:rFonts w:eastAsia="source serif 4" w:cs="source serif 4" w:ascii="source serif 4" w:hAnsi="source serif 4"/>
          <w:color w:val="000000"/>
        </w:rPr>
        <w:t xml:space="preserve"> This matrix intentionally mirrors the dense, cross-referenced legacy style used in document-centric environments where compliance dependencies, article references, and effective-date logic are managed manually in large reference documents.</w:t>
      </w:r>
    </w:p>
    <w:p>
      <w:pPr>
        <w:spacing w:line="360" w:after="210" w:lineRule="auto"/>
      </w:pPr>
      <w:r>
        <w:rPr>
          <w:rFonts w:eastAsia="source serif 4" w:cs="source serif 4" w:ascii="source serif 4" w:hAnsi="source serif 4"/>
          <w:color w:val="000000"/>
        </w:rPr>
        <w:t xml:space="preserve">Related Articles: COMP-6633 (Disclosure Change Log), KM-1001 (Knowledge Standards), SCRIPT-44 (General Disclaimers), LEGAL-MEMO-2026-NY, MEMO-2026-CA-RATING. Questions regarding disclosure applicability must be routed to the compliance content desk. System issues should be reported to </w:t>
      </w:r>
      <w:hyperlink r:id="rId5">
        <w:r>
          <w:rPr>
            <w:rFonts w:eastAsia="source sans 3" w:cs="source sans 3" w:ascii="source sans 3" w:hAnsi="source sans 3"/>
            <w:color w:val="#000"/>
            <w:u w:val="single"/>
          </w:rPr>
          <w:t xml:space="preserve">km-support@example.com</w:t>
        </w:r>
      </w:hyperlink>
      <w:r>
        <w:rPr>
          <w:rFonts w:eastAsia="source serif 4" w:cs="source serif 4" w:ascii="source serif 4" w:hAnsi="source serif 4"/>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km-support@example.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2026-07-31T18:56:40.846Z</dcterms:created>
  <dcterms:modified xsi:type="dcterms:W3CDTF">2026-07-31T18:56:40.846Z</dcterms:modified>
</cp:coreProperties>
</file>