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id_mig_5508_rev_4_knowle_356d8d"/>
      <w:r>
        <w:rPr>
          <w:rFonts w:eastAsia="source serif 4" w:cs="source serif 4" w:ascii="source serif 4" w:hAnsi="source serif 4"/>
          <w:b/>
          <w:color w:val="000000"/>
          <w:sz w:val="39"/>
        </w:rPr>
        <w:t xml:space="preserve">DOCUMENT ID: MIG-5508-REV-4 (Knowledge Migration and Archiving Plan for Legacy Content Repositories)</w:t>
      </w:r>
      <w:bookmarkEnd w:id="0"/>
    </w:p>
    <w:p>
      <w:pPr>
        <w:spacing w:line="360" w:after="210" w:lineRule="auto"/>
      </w:pPr>
      <w:r>
        <w:rPr>
          <w:rFonts w:eastAsia="source serif 4" w:cs="source serif 4" w:ascii="source serif 4" w:hAnsi="source serif 4"/>
          <w:color w:val="000000"/>
        </w:rPr>
        <w:t xml:space="preserve">Last Updated: 07/31/2026 14:50:00 EST | Author: KM_Transformation_PM | Status: Approved (In Active Program Execution)</w:t>
      </w:r>
    </w:p>
    <w:p>
      <w:pPr>
        <w:spacing w:line="360" w:after="210" w:lineRule="auto"/>
      </w:pPr>
      <w:r>
        <w:rPr>
          <w:rFonts w:eastAsia="source serif 4" w:cs="source serif 4" w:ascii="source serif 4" w:hAnsi="source serif 4"/>
          <w:color w:val="000000"/>
        </w:rPr>
        <w:t xml:space="preserve">Supersedes: MIG-5508-REV-3, ARCH-221, PROGRAM-MEMO-2026-CMS-MOVE. Target Audience: KM Leads, Content Operations Managers, Migration Analysts, Business Owners, IT Partners, Audit Support.</w:t>
      </w:r>
    </w:p>
    <w:p>
      <w:pPr>
        <w:spacing w:line="360" w:after="210" w:lineRule="auto"/>
      </w:pPr>
      <w:r>
        <w:rPr>
          <w:rFonts w:eastAsia="source serif 4" w:cs="source serif 4" w:ascii="source serif 4" w:hAnsi="source serif 4"/>
          <w:b/>
          <w:color w:val="000000"/>
        </w:rPr>
        <w:t xml:space="preserve">Overview &amp; Scope:</w:t>
      </w:r>
      <w:r>
        <w:rPr>
          <w:rFonts w:eastAsia="source serif 4" w:cs="source serif 4" w:ascii="source serif 4" w:hAnsi="source serif 4"/>
          <w:color w:val="000000"/>
        </w:rPr>
        <w:t xml:space="preserve"> This document defines the operational plan, governance checkpoints, content disposition rules, repository inventory requirements, ownership validation steps, deduplication standards, migration sequencing, coexistence controls, and archival requirements for transitioning legacy knowledge content from document-centric repositories into the target content and knowledge management platform. In-scope sources include SharePoint libraries, Word and PDF procedures, legacy knowledge base articles, team-owned folders, attached job aids, reference images, and retired but audit-relevant procedural memoranda. Failure to execute the steps below in order may result in duplicate migration, loss of critical knowledge, broken references, unowned content in production, inconsistent search behavior, front-line confusion during coexistence, and audit findings related to archival controls.</w:t>
      </w:r>
    </w:p>
    <w:p>
      <w:pPr>
        <w:spacing w:line="360" w:after="210" w:lineRule="auto"/>
      </w:pPr>
      <w:r>
        <w:rPr>
          <w:rFonts w:eastAsia="source serif 4" w:cs="source serif 4" w:ascii="source serif 4" w:hAnsi="source serif 4"/>
          <w:b/>
          <w:color w:val="000000"/>
        </w:rPr>
        <w:t xml:space="preserve">Repository Inventory Standard:</w:t>
      </w:r>
      <w:r>
        <w:rPr>
          <w:rFonts w:eastAsia="source serif 4" w:cs="source serif 4" w:ascii="source serif 4" w:hAnsi="source serif 4"/>
          <w:color w:val="000000"/>
        </w:rPr>
        <w:t xml:space="preserve"> Before any migration wave begins, the assigned migration analyst MUST inventory each source repository, identify business owner, confirm active vs. inactive status, note known duplicate locations, capture document counts, and record whether metadata exists beyond filename and folder path. No repository may enter migration planning until ownership is confirmed. If ownership cannot be confirmed, escalate to the program governance board; do not migrate unowned content by assumption. Where multiple repositories contain near-duplicate procedures, the owning business area must designate the system of record before transformation begins.</w:t>
      </w:r>
    </w:p>
    <w:p>
      <w:pPr>
        <w:spacing w:line="360" w:after="210" w:lineRule="auto"/>
      </w:pPr>
      <w:r>
        <w:rPr>
          <w:rFonts w:eastAsia="source serif 4" w:cs="source serif 4" w:ascii="source serif 4" w:hAnsi="source serif 4"/>
          <w:b/>
          <w:color w:val="000000"/>
        </w:rPr>
        <w:t xml:space="preserve">Disposition Rules:</w:t>
      </w:r>
      <w:r>
        <w:rPr>
          <w:rFonts w:eastAsia="source serif 4" w:cs="source serif 4" w:ascii="source serif 4" w:hAnsi="source serif 4"/>
          <w:color w:val="000000"/>
        </w:rPr>
        <w:t xml:space="preserve"> Each legacy artifact must be classified as one of the following: Keep Temporarily, Revise and Migrate, Decompose to Structured Content, Archive for Reference, or Retire Completely. "Keep Temporarily" is reserved for high-value content that is still needed operationally but cannot be fully remodeled in the current wave. "Revise and Migrate" applies to content that is materially useful but requires cleanup, deduplication, or policy validation. "Decompose to Structured Content" applies to content that contains reusable procedures, scripts, state exceptions, metadata patterns, or componentized logic suitable for the new platform. "Archive for Reference" applies to historical but non-operational content that must remain accessible for audit, claims reconstruction, or legal traceability. "Retire Completely" applies only after business owner sign-off confirms the content is obsolete and no downstream dependency remains.</w:t>
      </w:r>
    </w:p>
    <w:p>
      <w:pPr>
        <w:spacing w:line="360" w:after="210" w:lineRule="auto"/>
      </w:pPr>
      <w:r>
        <w:rPr>
          <w:rFonts w:eastAsia="source serif 4" w:cs="source serif 4" w:ascii="source serif 4" w:hAnsi="source serif 4"/>
          <w:color w:val="000000"/>
        </w:rPr>
        <w:t xml:space="preserve">***** COEXISTENCE AND CUTOVER CONTROLS - READ CAREFULLY *****</w:t>
      </w:r>
    </w:p>
    <w:p>
      <w:pPr>
        <w:spacing w:line="360" w:after="210" w:lineRule="auto"/>
      </w:pPr>
      <w:r>
        <w:rPr>
          <w:rFonts w:eastAsia="source serif 4" w:cs="source serif 4" w:ascii="source serif 4" w:hAnsi="source serif 4"/>
          <w:color w:val="000000"/>
        </w:rPr>
        <w:t xml:space="preserve">During migration, front-line users may encounter both legacy repositories and newly migrated content. Business owners must clearly designate the authoritative source for each content set during coexistence. Do not leave both versions discoverable without an explicit redirect, banner, or retirement marker. If a migrated article remains linked from a legacy Word or PDF file, that link relationship must be documented and remediated before the legacy asset is retired. Where legacy document IDs are heavily used by front-line teams, maintain a searchable crosswalk to new article identifiers until adoption thresholds are met.</w:t>
      </w:r>
    </w:p>
    <w:p>
      <w:pPr>
        <w:spacing w:line="360" w:after="210" w:lineRule="auto"/>
      </w:pPr>
      <w:r>
        <w:rPr>
          <w:rFonts w:eastAsia="source serif 4" w:cs="source serif 4" w:ascii="source serif 4" w:hAnsi="source serif 4"/>
          <w:b/>
          <w:color w:val="000000"/>
        </w:rPr>
        <w:t xml:space="preserve">Wave Execution Sequence:</w:t>
      </w:r>
      <w:r>
        <w:rPr>
          <w:rFonts w:eastAsia="source serif 4" w:cs="source serif 4" w:ascii="source serif 4" w:hAnsi="source serif 4"/>
          <w:color w:val="000000"/>
        </w:rPr>
        <w:t xml:space="preserve"> Inventory source repository -&gt; validate business ownership -&gt; classify content disposition -&gt; identify duplicates and conflicts -&gt; map legacy document to target article type/component pattern -&gt; transform content -&gt; review for procedural accuracy -&gt; validate metadata and permissions -&gt; publish/pilot -&gt; monitor searchability and usability -&gt; retire or archive source artifact. Do not publish transformed content without validating that required links, permissions, and related assets function in the target environment.</w:t>
      </w:r>
    </w:p>
    <w:p>
      <w:pPr>
        <w:spacing w:line="360" w:after="210" w:lineRule="auto"/>
      </w:pPr>
      <w:r>
        <w:rPr>
          <w:rFonts w:eastAsia="source serif 4" w:cs="source serif 4" w:ascii="source serif 4" w:hAnsi="source serif 4"/>
          <w:b/>
          <w:color w:val="000000"/>
        </w:rPr>
        <w:t xml:space="preserve">Archival Requirements:</w:t>
      </w:r>
      <w:r>
        <w:rPr>
          <w:rFonts w:eastAsia="source serif 4" w:cs="source serif 4" w:ascii="source serif 4" w:hAnsi="source serif 4"/>
          <w:color w:val="000000"/>
        </w:rPr>
        <w:t xml:space="preserve"> Archived content must retain original document identifier, prior revision where available, date removed from active use, business owner, reason for archive, and any known legal/audit retention category. Archived assets must not appear in standard front-line search unless explicitly permitted by governance policy. If a retired document is referenced in a live article, the live article must be corrected before archival closure can be completed.</w:t>
      </w:r>
    </w:p>
    <w:p>
      <w:pPr>
        <w:spacing w:line="360" w:after="210" w:lineRule="auto"/>
      </w:pPr>
      <w:r>
        <w:rPr>
          <w:rFonts w:eastAsia="source serif 4" w:cs="source serif 4" w:ascii="source serif 4" w:hAnsi="source serif 4"/>
          <w:b/>
          <w:color w:val="000000"/>
        </w:rPr>
        <w:t xml:space="preserve">Program Risks / Known Failure Modes:</w:t>
      </w:r>
      <w:r>
        <w:rPr>
          <w:rFonts w:eastAsia="source serif 4" w:cs="source serif 4" w:ascii="source serif 4" w:hAnsi="source serif 4"/>
          <w:color w:val="000000"/>
        </w:rPr>
        <w:t xml:space="preserve"> unclear ownership; conflicting versions across business areas; hidden links embedded in Word/PDF attachments; incomplete metadata preventing target mapping; front-line mistrust during coexistence; migration of outdated content without policy review; and inability to prove source-to-target traceability for audited procedures.</w:t>
      </w:r>
    </w:p>
    <w:p>
      <w:pPr>
        <w:spacing w:line="360" w:after="210" w:lineRule="auto"/>
      </w:pPr>
      <w:r>
        <w:rPr>
          <w:rFonts w:eastAsia="source serif 4" w:cs="source serif 4" w:ascii="source serif 4" w:hAnsi="source serif 4"/>
          <w:b/>
          <w:color w:val="000000"/>
        </w:rPr>
        <w:t xml:space="preserve">Documentation Notes:</w:t>
      </w:r>
      <w:r>
        <w:rPr>
          <w:rFonts w:eastAsia="source serif 4" w:cs="source serif 4" w:ascii="source serif 4" w:hAnsi="source serif 4"/>
          <w:color w:val="000000"/>
        </w:rPr>
        <w:t xml:space="preserve"> This plan is intentionally written in the same dense, legacy procedural style as large SharePoint/Word governance documents so it can serve as realistic source material for later structured modeling.</w:t>
      </w:r>
    </w:p>
    <w:p>
      <w:pPr>
        <w:spacing w:line="360" w:after="210" w:lineRule="auto"/>
      </w:pPr>
      <w:r>
        <w:rPr>
          <w:rFonts w:eastAsia="source serif 4" w:cs="source serif 4" w:ascii="source serif 4" w:hAnsi="source serif 4"/>
          <w:color w:val="000000"/>
        </w:rPr>
        <w:t xml:space="preserve">Related Articles: MIG-5509 (Legacy-to-Target Content Mapping Guide), ARCH-222 (Retention Schedule), KM-1001 (Knowledge Standards), PROGRAM-FAQ-01 (CMS Migration FAQ), MEMO-2026-COEXISTENCE-CONTROLS. Questions regarding disposition or wave readiness should be routed to the Knowledge Transformation PMO. System issues should be reported to </w:t>
      </w:r>
      <w:hyperlink r:id="rId5">
        <w:r>
          <w:rPr>
            <w:rFonts w:eastAsia="source sans 3" w:cs="source sans 3" w:ascii="source sans 3" w:hAnsi="source sans 3"/>
            <w:color w:val="#000"/>
            <w:u w:val="single"/>
          </w:rPr>
          <w:t xml:space="preserve">km-support@example.com</w:t>
        </w:r>
      </w:hyperlink>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m-support@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2026-07-31T18:56:48.358Z</dcterms:created>
  <dcterms:modified xsi:type="dcterms:W3CDTF">2026-07-31T18:56:48.358Z</dcterms:modified>
</cp:coreProperties>
</file>