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D"/>
          <w:sz w:val="18"/>
          <w:szCs w:val="18"/>
        </w:rPr>
        <w:t xml:space="preserve">SESIÓN 6</w:t>
      </w:r>
    </w:p>
    <w:p>
      <w:pPr>
        <w:spacing w:after="60"/>
      </w:pPr>
      <w:r>
        <w:rPr>
          <w:rFonts w:ascii="Calibri" w:cs="Calibri" w:eastAsia="Calibri" w:hAnsi="Calibri"/>
          <w:b/>
          <w:bCs/>
          <w:color w:val="16262E"/>
          <w:sz w:val="36"/>
          <w:szCs w:val="36"/>
        </w:rPr>
        <w:t xml:space="preserve">Laboratorio cualitativo aplicado a casos reales</w:t>
      </w:r>
    </w:p>
    <w:p>
      <w:pPr>
        <w:spacing w:after="200" w:line="276"/>
        <w:jc w:val="both"/>
      </w:pPr>
      <w:r>
        <w:rPr>
          <w:rFonts w:ascii="Calibri" w:cs="Calibri" w:eastAsia="Calibri" w:hAnsi="Calibri"/>
          <w:i/>
          <w:iCs/>
          <w:color w:val="5A6B73"/>
          <w:sz w:val="20"/>
          <w:szCs w:val="20"/>
        </w:rPr>
        <w:t xml:space="preserve">Martes 22 de septiembre de 2026. Hoja de trabajo para quedarte.</w:t>
      </w:r>
    </w:p>
    <w:p>
      <w:pPr>
        <w:spacing w:after="140" w:line="276"/>
        <w:jc w:val="both"/>
      </w:pPr>
      <w:r>
        <w:rPr>
          <w:rFonts w:ascii="Calibri" w:cs="Calibri" w:eastAsia="Calibri" w:hAnsi="Calibri"/>
          <w:color w:val="16262E"/>
          <w:sz w:val="20"/>
          <w:szCs w:val="20"/>
        </w:rPr>
        <w:t xml:space="preserve">Hoy cierra el Módulo II. Las cuatro sesiones anteriores le dieron maneras de producir candidatos: frases, tablas, categorías y citas. Ninguna dijo cómo se decide si un candidato es cierto. Esta hoja trae lo que no cabe en clase: las fórmulas completas, las escalas de interpretación con sus críticas, y las fuentes primarias para quien quiera ir a verlas.</w:t>
      </w:r>
    </w:p>
    <w:p>
      <w:pPr>
        <w:spacing w:after="80" w:line="276"/>
        <w:jc w:val="both"/>
      </w:pPr>
      <w:r>
        <w:rPr>
          <w:rFonts w:ascii="Calibri" w:cs="Calibri" w:eastAsia="Calibri" w:hAnsi="Calibri"/>
          <w:color w:val="5A6B73"/>
          <w:sz w:val="20"/>
          <w:szCs w:val="20"/>
        </w:rPr>
        <w:t xml:space="preserve">Repositorio del curso: github.com/xuxoramos/curso-inegi-gen-ai</w:t>
      </w:r>
    </w:p>
    <w:p>
      <w:pPr>
        <w:pStyle w:val="Heading1"/>
        <w:spacing w:after="160" w:before="320"/>
      </w:pPr>
      <w:r>
        <w:rPr>
          <w:rFonts w:ascii="Calibri" w:cs="Calibri" w:eastAsia="Calibri" w:hAnsi="Calibri"/>
          <w:b/>
          <w:bCs/>
          <w:color w:val="16262E"/>
          <w:sz w:val="26"/>
          <w:szCs w:val="26"/>
        </w:rPr>
        <w:t xml:space="preserve">1. Todo lo que hemos leído es el mismo programa</w:t>
      </w:r>
    </w:p>
    <w:p>
      <w:pPr>
        <w:spacing w:after="140" w:line="276"/>
        <w:jc w:val="both"/>
      </w:pPr>
      <w:r>
        <w:rPr>
          <w:rFonts w:ascii="Calibri" w:cs="Calibri" w:eastAsia="Calibri" w:hAnsi="Calibri"/>
          <w:color w:val="16262E"/>
          <w:sz w:val="20"/>
          <w:szCs w:val="20"/>
        </w:rPr>
        <w:t xml:space="preserve">Las cuatro sesiones del módulo trabajaron documentos distintos de un mismo programa ficticio, el Programa de Apoyo al Cuidado Comunitario, que opera en doce entidades federativas. Conviene tenerlo presente, porque la pregunta con la que cerramos la sesión depende de ello.</w:t>
      </w:r>
    </w:p>
    <w:tbl>
      <w:tblPr>
        <w:tblW w:type="dxa" w:w="9640"/>
        <w:tblBorders>
          <w:top w:val="single" w:color="D9E0E3" w:sz="2"/>
          <w:left w:val="single" w:color="D9E0E3" w:sz="2"/>
          <w:bottom w:val="single" w:color="D9E0E3" w:sz="2"/>
          <w:right w:val="single" w:color="D9E0E3" w:sz="2"/>
          <w:insideH w:val="single" w:color="D9E0E3" w:sz="2"/>
          <w:insideV w:val="single" w:color="D9E0E3" w:sz="2"/>
        </w:tblBorders>
      </w:tblPr>
      <w:tblGrid>
        <w:gridCol w:w="100"/>
        <w:gridCol w:w="100"/>
        <w:gridCol w:w="100"/>
      </w:tblGrid>
      <w:tr>
        <w:trPr>
          <w:tblHeader/>
        </w:trPr>
        <w:tc>
          <w:tcPr>
            <w:tcW w:type="dxa" w:w="310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Documento</w:t>
            </w:r>
          </w:p>
        </w:tc>
        <w:tc>
          <w:tcPr>
            <w:tcW w:type="dxa" w:w="240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Cuándo se trabajó</w:t>
            </w:r>
          </w:p>
        </w:tc>
        <w:tc>
          <w:tcPr>
            <w:tcW w:type="dxa" w:w="414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Qué es y qué salió de ahí</w:t>
            </w:r>
          </w:p>
        </w:tc>
      </w:tr>
      <w:tr>
        <w:tc>
          <w:tcPr>
            <w:tcW w:type="dxa" w:w="310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Informe_sintetico_LAB1.docx</w:t>
            </w:r>
          </w:p>
        </w:tc>
        <w:tc>
          <w:tcPr>
            <w:tcW w:type="dxa" w:w="240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Sesión 3, Laboratorio 1</w:t>
            </w:r>
          </w:p>
        </w:tc>
        <w:tc>
          <w:tcPr>
            <w:tcW w:type="dxa" w:w="414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El informe final de evaluación del programa, ejercicio 2025: la versión nacional, con las doce entidades juntas. Lo desmontaron y encontraron cifras que no cuadraban, una fuente inexistente y conclusiones sin respaldo.</w:t>
            </w:r>
          </w:p>
        </w:tc>
      </w:tr>
      <w:tr>
        <w:tc>
          <w:tcPr>
            <w:tcW w:type="dxa" w:w="310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Registros_atencion_ciudadana_PARTICIPANTE.xlsx</w:t>
            </w:r>
          </w:p>
        </w:tc>
        <w:tc>
          <w:tcPr>
            <w:tcW w:type="dxa" w:w="240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Sesiones 1 y 4</w:t>
            </w:r>
          </w:p>
        </w:tc>
        <w:tc>
          <w:tcPr>
            <w:tcW w:type="dxa" w:w="414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118 registros de atención ciudadana: quejas, dudas y solicitudes. De ahí salieron el libro de códigos y el agrupamiento temático, y el enmascaramiento sobre la hoja del padrón.</w:t>
            </w:r>
          </w:p>
        </w:tc>
      </w:tr>
      <w:tr>
        <w:tc>
          <w:tcPr>
            <w:tcW w:type="dxa" w:w="310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Transcripciones_foro_PARTICIPANTE.docx</w:t>
            </w:r>
          </w:p>
        </w:tc>
        <w:tc>
          <w:tcPr>
            <w:tcW w:type="dxa" w:w="240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Sesión 4, Práctica D</w:t>
            </w:r>
          </w:p>
        </w:tc>
        <w:tc>
          <w:tcPr>
            <w:tcW w:type="dxa" w:w="414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41 intervenciones en dos foros de consulta de la Entidad C, agosto de 2026. Tres son del moderador y no se clasifican, así que quedan 38. De ahí salió la clasificación por polaridad y causa raíz.</w:t>
            </w:r>
          </w:p>
        </w:tc>
      </w:tr>
      <w:tr>
        <w:tc>
          <w:tcPr>
            <w:tcW w:type="dxa" w:w="310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Expedientes_LAB2.docx</w:t>
            </w:r>
          </w:p>
        </w:tc>
        <w:tc>
          <w:tcPr>
            <w:tcW w:type="dxa" w:w="240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Hoy</w:t>
            </w:r>
          </w:p>
        </w:tc>
        <w:tc>
          <w:tcPr>
            <w:tcW w:type="dxa" w:w="414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Seis expedientes de evaluación, uno por entidad, sobre el mismo marco normativo. De aquí sale su matriz de evidencia.</w:t>
            </w:r>
          </w:p>
        </w:tc>
      </w:tr>
    </w:tbl>
    <w:p>
      <w:pPr>
        <w:spacing w:after="140" w:line="276"/>
        <w:jc w:val="both"/>
      </w:pPr>
      <w:r>
        <w:rPr>
          <w:rFonts w:ascii="Calibri" w:cs="Calibri" w:eastAsia="Calibri" w:hAnsi="Calibri"/>
          <w:color w:val="16262E"/>
          <w:sz w:val="20"/>
          <w:szCs w:val="20"/>
        </w:rPr>
        <w:t xml:space="preserve">El informe nacional que desmontaron el jueves se armó a partir de expedientes estatales como los de hoy. Por eso la pregunta de cierre es qué hallazgo se perdió en el camino del expediente al informe. Los cuatro documentos son sintéticos: el programa, las entidades, las cifras y las personas son ficticios.</w:t>
      </w:r>
    </w:p>
    <w:p>
      <w:pPr>
        <w:pStyle w:val="Heading1"/>
        <w:spacing w:after="160" w:before="320"/>
      </w:pPr>
      <w:r>
        <w:rPr>
          <w:rFonts w:ascii="Calibri" w:cs="Calibri" w:eastAsia="Calibri" w:hAnsi="Calibri"/>
          <w:b/>
          <w:bCs/>
          <w:color w:val="16262E"/>
          <w:sz w:val="26"/>
          <w:szCs w:val="26"/>
        </w:rPr>
        <w:t xml:space="preserve">2. Las tres fallas entre el documento y el informe</w:t>
      </w:r>
    </w:p>
    <w:p>
      <w:pPr>
        <w:spacing w:after="140" w:line="276"/>
        <w:jc w:val="both"/>
      </w:pPr>
      <w:r>
        <w:rPr>
          <w:rFonts w:ascii="Calibri" w:cs="Calibri" w:eastAsia="Calibri" w:hAnsi="Calibri"/>
          <w:color w:val="16262E"/>
          <w:sz w:val="20"/>
          <w:szCs w:val="20"/>
        </w:rPr>
        <w:t xml:space="preserve">Entre el documento y la frase que se firma hay tres puntos donde el trabajo se rompe. Las tres se ven igual en el informe terminado —una oración con una cita al lado— y por eso la revisión se hace al revés, del informe hacia el documento.</w:t>
      </w:r>
    </w:p>
    <w:tbl>
      <w:tblPr>
        <w:tblW w:type="dxa" w:w="9640"/>
        <w:tblBorders>
          <w:top w:val="single" w:color="D9E0E3" w:sz="2"/>
          <w:left w:val="single" w:color="D9E0E3" w:sz="2"/>
          <w:bottom w:val="single" w:color="D9E0E3" w:sz="2"/>
          <w:right w:val="single" w:color="D9E0E3" w:sz="2"/>
          <w:insideH w:val="single" w:color="D9E0E3" w:sz="2"/>
          <w:insideV w:val="single" w:color="D9E0E3" w:sz="2"/>
        </w:tblBorders>
      </w:tblPr>
      <w:tblGrid>
        <w:gridCol w:w="100"/>
        <w:gridCol w:w="100"/>
        <w:gridCol w:w="100"/>
      </w:tblGrid>
      <w:tr>
        <w:trPr>
          <w:tblHeader/>
        </w:trPr>
        <w:tc>
          <w:tcPr>
            <w:tcW w:type="dxa" w:w="170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Falla</w:t>
            </w:r>
          </w:p>
        </w:tc>
        <w:tc>
          <w:tcPr>
            <w:tcW w:type="dxa" w:w="397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Qué ocurre</w:t>
            </w:r>
          </w:p>
        </w:tc>
        <w:tc>
          <w:tcPr>
            <w:tcW w:type="dxa" w:w="397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Cómo se atrapa</w:t>
            </w:r>
          </w:p>
        </w:tc>
      </w:tr>
      <w:tr>
        <w:tc>
          <w:tcPr>
            <w:tcW w:type="dxa" w:w="170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Extracción</w:t>
            </w:r>
          </w:p>
        </w:tc>
        <w:tc>
          <w:tcPr>
            <w:tcW w:type="dxa" w:w="397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El asistente omitió un elemento que sí estaba en el documento, o entregó uno que no existe en ninguna parte.</w:t>
            </w:r>
          </w:p>
        </w:tc>
        <w:tc>
          <w:tcPr>
            <w:tcW w:type="dxa" w:w="397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Se mide con precisión y recuperación contra una lista de referencia.</w:t>
            </w:r>
          </w:p>
        </w:tc>
      </w:tr>
      <w:tr>
        <w:tc>
          <w:tcPr>
            <w:tcW w:type="dxa" w:w="170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Atribución</w:t>
            </w:r>
          </w:p>
        </w:tc>
        <w:tc>
          <w:tcPr>
            <w:tcW w:type="dxa" w:w="397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La cita es textual y está bien copiada, pero no sostiene lo que la afirmación asegura que sostiene.</w:t>
            </w:r>
          </w:p>
        </w:tc>
        <w:tc>
          <w:tcPr>
            <w:tcW w:type="dxa" w:w="397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Se verifica leyendo la fuente. No hay atajo, y el modelo no puede hacerlo por usted.</w:t>
            </w:r>
          </w:p>
        </w:tc>
      </w:tr>
      <w:tr>
        <w:tc>
          <w:tcPr>
            <w:tcW w:type="dxa" w:w="170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Generalización</w:t>
            </w:r>
          </w:p>
        </w:tc>
        <w:tc>
          <w:tcPr>
            <w:tcW w:type="dxa" w:w="397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La síntesis afirma más de lo que la matriz respalda. Suele sonar mejor que lo que sí está respaldado.</w:t>
            </w:r>
          </w:p>
        </w:tc>
        <w:tc>
          <w:tcPr>
            <w:tcW w:type="dxa" w:w="397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Se atrapa comparando cada frase de la síntesis contra una fila de la matriz.</w:t>
            </w:r>
          </w:p>
        </w:tc>
      </w:tr>
    </w:tbl>
    <w:p>
      <w:pPr>
        <w:spacing w:after="60" w:line="276"/>
        <w:jc w:val="both"/>
      </w:pPr>
      <w:r>
        <w:rPr>
          <w:rFonts w:ascii="Calibri" w:cs="Calibri" w:eastAsia="Calibri" w:hAnsi="Calibri"/>
          <w:color w:val="16262E"/>
          <w:sz w:val="20"/>
          <w:szCs w:val="20"/>
        </w:rPr>
        <w:t xml:space="preserve"/>
      </w:r>
    </w:p>
    <w:p>
      <w:pPr>
        <w:pStyle w:val="Heading1"/>
        <w:spacing w:after="160" w:before="320"/>
      </w:pPr>
      <w:r>
        <w:rPr>
          <w:rFonts w:ascii="Calibri" w:cs="Calibri" w:eastAsia="Calibri" w:hAnsi="Calibri"/>
          <w:b/>
          <w:bCs/>
          <w:color w:val="16262E"/>
          <w:sz w:val="26"/>
          <w:szCs w:val="26"/>
        </w:rPr>
        <w:t xml:space="preserve">3. Medir la extracción: precisión, recuperación y F1</w:t>
      </w:r>
    </w:p>
    <w:p>
      <w:pPr>
        <w:spacing w:after="140" w:line="276"/>
        <w:jc w:val="both"/>
      </w:pPr>
      <w:r>
        <w:rPr>
          <w:rFonts w:ascii="Calibri" w:cs="Calibri" w:eastAsia="Calibri" w:hAnsi="Calibri"/>
          <w:color w:val="16262E"/>
          <w:sz w:val="20"/>
          <w:szCs w:val="20"/>
        </w:rPr>
        <w:t xml:space="preserve">Con VP los aciertos, FP lo que entregó de más y FN lo que se le quedó:</w:t>
      </w:r>
    </w:p>
    <w:p>
      <w:pPr>
        <w:spacing w:after="140" w:line="276"/>
        <w:jc w:val="both"/>
      </w:pPr>
      <w:r>
        <w:rPr>
          <w:rFonts w:ascii="Calibri" w:cs="Calibri" w:eastAsia="Calibri" w:hAnsi="Calibri"/>
          <w:b/>
          <w:bCs/>
          <w:i w:val="false"/>
          <w:iCs w:val="false"/>
          <w:color w:val="16262E"/>
          <w:sz w:val="20"/>
          <w:szCs w:val="20"/>
        </w:rPr>
        <w:t xml:space="preserve">Precisión = VP / (VP + FP)</w:t>
      </w:r>
      <w:r>
        <w:rPr>
          <w:rFonts w:ascii="Calibri" w:cs="Calibri" w:eastAsia="Calibri" w:hAnsi="Calibri"/>
          <w:b w:val="false"/>
          <w:bCs w:val="false"/>
          <w:i w:val="false"/>
          <w:iCs w:val="false"/>
          <w:color w:val="16262E"/>
          <w:sz w:val="20"/>
          <w:szCs w:val="20"/>
        </w:rPr>
        <w:t xml:space="preserve">   de lo que entregó, cuánto era cierto.</w:t>
      </w:r>
    </w:p>
    <w:p>
      <w:pPr>
        <w:spacing w:after="140" w:line="276"/>
        <w:jc w:val="both"/>
      </w:pPr>
      <w:r>
        <w:rPr>
          <w:rFonts w:ascii="Calibri" w:cs="Calibri" w:eastAsia="Calibri" w:hAnsi="Calibri"/>
          <w:b/>
          <w:bCs/>
          <w:i w:val="false"/>
          <w:iCs w:val="false"/>
          <w:color w:val="16262E"/>
          <w:sz w:val="20"/>
          <w:szCs w:val="20"/>
        </w:rPr>
        <w:t xml:space="preserve">Recuperación = VP / (VP + FN)</w:t>
      </w:r>
      <w:r>
        <w:rPr>
          <w:rFonts w:ascii="Calibri" w:cs="Calibri" w:eastAsia="Calibri" w:hAnsi="Calibri"/>
          <w:b w:val="false"/>
          <w:bCs w:val="false"/>
          <w:i w:val="false"/>
          <w:iCs w:val="false"/>
          <w:color w:val="16262E"/>
          <w:sz w:val="20"/>
          <w:szCs w:val="20"/>
        </w:rPr>
        <w:t xml:space="preserve">   de lo que había, cuánto encontró.</w:t>
      </w:r>
    </w:p>
    <w:p>
      <w:pPr>
        <w:spacing w:after="180" w:line="276"/>
        <w:jc w:val="both"/>
      </w:pPr>
      <w:r>
        <w:rPr>
          <w:rFonts w:ascii="Calibri" w:cs="Calibri" w:eastAsia="Calibri" w:hAnsi="Calibri"/>
          <w:b/>
          <w:bCs/>
          <w:i w:val="false"/>
          <w:iCs w:val="false"/>
          <w:color w:val="16262E"/>
          <w:sz w:val="20"/>
          <w:szCs w:val="20"/>
        </w:rPr>
        <w:t xml:space="preserve">F1 = 2 · P · R / (P + R)</w:t>
      </w:r>
      <w:r>
        <w:rPr>
          <w:rFonts w:ascii="Calibri" w:cs="Calibri" w:eastAsia="Calibri" w:hAnsi="Calibri"/>
          <w:b w:val="false"/>
          <w:bCs w:val="false"/>
          <w:i w:val="false"/>
          <w:iCs w:val="false"/>
          <w:color w:val="16262E"/>
          <w:sz w:val="20"/>
          <w:szCs w:val="20"/>
        </w:rPr>
        <w:t xml:space="preserve">   la media armónica de las dos, no el promedio. Equivale a 2VP / (2VP + FP + FN), forma que deja ver que a igualdad de aciertos inventar y omitir pesan lo mismo.</w:t>
      </w:r>
    </w:p>
    <w:p>
      <w:pPr>
        <w:spacing w:after="80" w:line="276"/>
        <w:jc w:val="both"/>
      </w:pPr>
      <w:r>
        <w:rPr>
          <w:rFonts w:ascii="Calibri" w:cs="Calibri" w:eastAsia="Calibri" w:hAnsi="Calibri"/>
          <w:b/>
          <w:bCs/>
          <w:color w:val="16262E"/>
          <w:sz w:val="20"/>
          <w:szCs w:val="20"/>
        </w:rPr>
        <w:t xml:space="preserve">El caso del artículo 9, resuelto.</w:t>
      </w:r>
    </w:p>
    <w:p>
      <w:pPr>
        <w:spacing w:after="140" w:line="276"/>
        <w:jc w:val="both"/>
      </w:pPr>
      <w:r>
        <w:rPr>
          <w:rFonts w:ascii="Calibri" w:cs="Calibri" w:eastAsia="Calibri" w:hAnsi="Calibri"/>
          <w:color w:val="16262E"/>
          <w:sz w:val="20"/>
          <w:szCs w:val="20"/>
        </w:rPr>
        <w:t xml:space="preserve">El artículo 9 del marco normativo común de Expedientes_LAB2.docx, el que comparten los seis equipos, lista exactamente cinco requisitos documentales y agrega que no puede exigirse documentación adicional. Si el asistente devuelve los cinco correctos más uno inventado, VP = 5, FP = 1 y FN = 0. Entonces la precisión es 5/6 ≈ 0.83, la recuperación es 5/5 = 1.00 y el F1 es 10/11 ≈ 0.909, que se redondea a 0.91.</w:t>
      </w:r>
    </w:p>
    <w:p>
      <w:pPr>
        <w:spacing w:after="140" w:line="276"/>
        <w:jc w:val="both"/>
      </w:pPr>
      <w:r>
        <w:rPr>
          <w:rFonts w:ascii="Calibri" w:cs="Calibri" w:eastAsia="Calibri" w:hAnsi="Calibri"/>
          <w:b/>
          <w:bCs/>
          <w:i w:val="false"/>
          <w:iCs w:val="false"/>
          <w:color w:val="16262E"/>
          <w:sz w:val="20"/>
          <w:szCs w:val="20"/>
        </w:rPr>
        <w:t xml:space="preserve">Cuidado con redondear temprano. </w:t>
      </w:r>
      <w:r>
        <w:rPr>
          <w:rFonts w:ascii="Calibri" w:cs="Calibri" w:eastAsia="Calibri" w:hAnsi="Calibri"/>
          <w:b w:val="false"/>
          <w:bCs w:val="false"/>
          <w:i w:val="false"/>
          <w:iCs w:val="false"/>
          <w:color w:val="16262E"/>
          <w:sz w:val="20"/>
          <w:szCs w:val="20"/>
        </w:rPr>
        <w:t xml:space="preserve">Si encadena el 0.83 ya redondeado dentro de la fórmula, obtiene 0.907 y no 0.909. Coinciden al redondear a dos decimales, pero no son el mismo número. Chinchor advierte de este mismo defecto en las tablas de MUC-4.</w:t>
      </w:r>
    </w:p>
    <w:p>
      <w:pPr>
        <w:spacing w:after="160" w:line="276"/>
        <w:jc w:val="both"/>
      </w:pPr>
      <w:r>
        <w:rPr>
          <w:rFonts w:ascii="Calibri" w:cs="Calibri" w:eastAsia="Calibri" w:hAnsi="Calibri"/>
          <w:color w:val="16262E"/>
          <w:sz w:val="20"/>
          <w:szCs w:val="20"/>
        </w:rPr>
        <w:t xml:space="preserve">Compare con el caso contrario: si devuelve cuatro correctos y omite uno, VP = 4, FP = 0 y FN = 1, de modo que la precisión es 1.00, la recuperación 4/5 = 0.80 y el F1 8/9 ≈ 0.89.</w:t>
      </w:r>
    </w:p>
    <w:p>
      <w:pPr>
        <w:spacing w:after="80" w:line="276"/>
        <w:jc w:val="both"/>
      </w:pPr>
      <w:r>
        <w:rPr>
          <w:rFonts w:ascii="Calibri" w:cs="Calibri" w:eastAsia="Calibri" w:hAnsi="Calibri"/>
          <w:b/>
          <w:bCs/>
          <w:color w:val="16262E"/>
          <w:sz w:val="20"/>
          <w:szCs w:val="20"/>
        </w:rPr>
        <w:t xml:space="preserve">Cuál de los dos errores cuesta más lo decide usted, no la fórmula.</w:t>
      </w:r>
    </w:p>
    <w:p>
      <w:pPr>
        <w:spacing w:after="140" w:line="276"/>
        <w:jc w:val="both"/>
      </w:pPr>
      <w:r>
        <w:rPr>
          <w:rFonts w:ascii="Calibri" w:cs="Calibri" w:eastAsia="Calibri" w:hAnsi="Calibri"/>
          <w:color w:val="16262E"/>
          <w:sz w:val="20"/>
          <w:szCs w:val="20"/>
        </w:rPr>
        <w:t xml:space="preserve">La familia Fβ permite declarar ese peso: Fβ = (β² + 1) · P · R / (β² · P + R), donde β es la importancia relativa que se le da a la recuperación sobre la precisión. Con los dos casos anteriores:</w:t>
      </w:r>
    </w:p>
    <w:tbl>
      <w:tblPr>
        <w:tblW w:type="dxa" w:w="9640"/>
        <w:tblBorders>
          <w:top w:val="single" w:color="D9E0E3" w:sz="2"/>
          <w:left w:val="single" w:color="D9E0E3" w:sz="2"/>
          <w:bottom w:val="single" w:color="D9E0E3" w:sz="2"/>
          <w:right w:val="single" w:color="D9E0E3" w:sz="2"/>
          <w:insideH w:val="single" w:color="D9E0E3" w:sz="2"/>
          <w:insideV w:val="single" w:color="D9E0E3" w:sz="2"/>
        </w:tblBorders>
      </w:tblPr>
      <w:tblGrid>
        <w:gridCol w:w="100"/>
        <w:gridCol w:w="100"/>
        <w:gridCol w:w="100"/>
      </w:tblGrid>
      <w:tr>
        <w:trPr>
          <w:tblHeader/>
        </w:trPr>
        <w:tc>
          <w:tcPr>
            <w:tcW w:type="dxa" w:w="3213"/>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Cómo se pesa el error</w:t>
            </w:r>
          </w:p>
        </w:tc>
        <w:tc>
          <w:tcPr>
            <w:tcW w:type="dxa" w:w="3213"/>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Inventa un requisito</w:t>
            </w:r>
          </w:p>
        </w:tc>
        <w:tc>
          <w:tcPr>
            <w:tcW w:type="dxa" w:w="3214"/>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Omite un requisito</w:t>
            </w:r>
          </w:p>
        </w:tc>
      </w:tr>
      <w:tr>
        <w:tc>
          <w:tcPr>
            <w:tcW w:type="dxa" w:w="3213"/>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F1: los dos pesan igual</w:t>
            </w:r>
          </w:p>
        </w:tc>
        <w:tc>
          <w:tcPr>
            <w:tcW w:type="dxa" w:w="3213"/>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0.91</w:t>
            </w:r>
          </w:p>
        </w:tc>
        <w:tc>
          <w:tcPr>
            <w:tcW w:type="dxa" w:w="3214"/>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0.89</w:t>
            </w:r>
          </w:p>
        </w:tc>
      </w:tr>
      <w:tr>
        <w:tc>
          <w:tcPr>
            <w:tcW w:type="dxa" w:w="3213"/>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F2: omitir pesa el doble</w:t>
            </w:r>
          </w:p>
        </w:tc>
        <w:tc>
          <w:tcPr>
            <w:tcW w:type="dxa" w:w="3213"/>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0.96</w:t>
            </w:r>
          </w:p>
        </w:tc>
        <w:tc>
          <w:tcPr>
            <w:tcW w:type="dxa" w:w="3214"/>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0.83</w:t>
            </w:r>
          </w:p>
        </w:tc>
      </w:tr>
      <w:tr>
        <w:tc>
          <w:tcPr>
            <w:tcW w:type="dxa" w:w="3213"/>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F0.5: inventar pesa el doble</w:t>
            </w:r>
          </w:p>
        </w:tc>
        <w:tc>
          <w:tcPr>
            <w:tcW w:type="dxa" w:w="3213"/>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0.86</w:t>
            </w:r>
          </w:p>
        </w:tc>
        <w:tc>
          <w:tcPr>
            <w:tcW w:type="dxa" w:w="3214"/>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0.95</w:t>
            </w:r>
          </w:p>
        </w:tc>
      </w:tr>
    </w:tbl>
    <w:p>
      <w:pPr>
        <w:spacing w:after="120" w:line="276"/>
        <w:jc w:val="both"/>
      </w:pPr>
      <w:r>
        <w:rPr>
          <w:rFonts w:ascii="Calibri" w:cs="Calibri" w:eastAsia="Calibri" w:hAnsi="Calibri"/>
          <w:color w:val="16262E"/>
          <w:sz w:val="20"/>
          <w:szCs w:val="20"/>
        </w:rPr>
        <w:t xml:space="preserve">El mismo par de resultados cambia de ganador tres veces sin que ningún asistente haya cambiado. Por eso β se declara antes de medir, igual que el nivel de significancia se fija antes de ver los datos. En un informe de evaluación que se firma, inventar un requisito cuesta más que omitirlo, porque acusa a la entidad de exigir documentación que la norma le prohíbe exigir.</w:t>
      </w:r>
    </w:p>
    <w:p>
      <w:pPr>
        <w:spacing w:after="140" w:line="276"/>
        <w:jc w:val="both"/>
      </w:pPr>
      <w:r>
        <w:rPr>
          <w:rFonts w:ascii="Calibri" w:cs="Calibri" w:eastAsia="Calibri" w:hAnsi="Calibri"/>
          <w:color w:val="16262E"/>
          <w:sz w:val="20"/>
          <w:szCs w:val="20"/>
        </w:rPr>
        <w:t xml:space="preserve">Dos advertencias más. Primera: antes de medir hay que decidir qué cuenta como acierto. CoNLL-2003 exige coincidencia exacta con la referencia; MUC otorga medio punto a una coincidencia parcial; CUAD acepta el fragmento si se traslapa al menos la mitad de las palabras. Los tres criterios están publicados y los tres son convenciones: cambiar de criterio cambia el F1 sin que el modelo haya cambiado. Segunda: en extracción no se reporta exactitud, porque no hay verdaderos negativos que contar. Nadie puede enumerar todo lo que el asistente pudo inventar y no inventó, así que la exactitud se queda sin denominador.</w:t>
      </w:r>
    </w:p>
    <w:p>
      <w:pPr>
        <w:pStyle w:val="Heading1"/>
        <w:spacing w:after="160" w:before="320"/>
      </w:pPr>
      <w:r>
        <w:rPr>
          <w:rFonts w:ascii="Calibri" w:cs="Calibri" w:eastAsia="Calibri" w:hAnsi="Calibri"/>
          <w:b/>
          <w:bCs/>
          <w:color w:val="16262E"/>
          <w:sz w:val="26"/>
          <w:szCs w:val="26"/>
        </w:rPr>
        <w:t xml:space="preserve">4. Medir el acuerdo entre quienes codifican</w:t>
      </w:r>
    </w:p>
    <w:p>
      <w:pPr>
        <w:spacing w:after="140" w:line="276"/>
        <w:jc w:val="both"/>
      </w:pPr>
      <w:r>
        <w:rPr>
          <w:rFonts w:ascii="Calibri" w:cs="Calibri" w:eastAsia="Calibri" w:hAnsi="Calibri"/>
          <w:color w:val="16262E"/>
          <w:sz w:val="20"/>
          <w:szCs w:val="20"/>
        </w:rPr>
        <w:t xml:space="preserve">Dos personas codifican el mismo corpus y coinciden en el 95 por ciento de los casos. Si una categoría domina, buena parte de ese acuerdo se obtiene sin leer nada. La kappa de Cohen descuenta esa parte:</w:t>
      </w:r>
    </w:p>
    <w:p>
      <w:pPr>
        <w:spacing w:after="160" w:line="276"/>
        <w:jc w:val="both"/>
      </w:pPr>
      <w:r>
        <w:rPr>
          <w:rFonts w:ascii="Calibri" w:cs="Calibri" w:eastAsia="Calibri" w:hAnsi="Calibri"/>
          <w:b/>
          <w:bCs/>
          <w:i w:val="false"/>
          <w:iCs w:val="false"/>
          <w:color w:val="16262E"/>
          <w:sz w:val="20"/>
          <w:szCs w:val="20"/>
        </w:rPr>
        <w:t xml:space="preserve">κ = (acuerdo observado − acuerdo esperado por azar) / (1 − acuerdo esperado por azar)</w:t>
      </w:r>
    </w:p>
    <w:p>
      <w:pPr>
        <w:spacing w:after="140" w:line="276"/>
        <w:jc w:val="both"/>
      </w:pPr>
      <w:r>
        <w:rPr>
          <w:rFonts w:ascii="Calibri" w:cs="Calibri" w:eastAsia="Calibri" w:hAnsi="Calibri"/>
          <w:color w:val="16262E"/>
          <w:sz w:val="20"/>
          <w:szCs w:val="20"/>
        </w:rPr>
        <w:t xml:space="preserve">El acuerdo esperado se calcula multiplicando, categoría por categoría, la proporción con que cada persona usó esa categoría, y sumando. Los tres casos que vimos en clase salen del corpus de foros de la sesión 4, el archivo Transcripciones_foro_PARTICIPANTE.docx, donde la clave del instructor y una segunda clasificación independiente coincidieron en 36 de las 38 intervenciones clasificables:</w:t>
      </w:r>
    </w:p>
    <w:tbl>
      <w:tblPr>
        <w:tblW w:type="dxa" w:w="9640"/>
        <w:tblBorders>
          <w:top w:val="single" w:color="D9E0E3" w:sz="2"/>
          <w:left w:val="single" w:color="D9E0E3" w:sz="2"/>
          <w:bottom w:val="single" w:color="D9E0E3" w:sz="2"/>
          <w:right w:val="single" w:color="D9E0E3" w:sz="2"/>
          <w:insideH w:val="single" w:color="D9E0E3" w:sz="2"/>
          <w:insideV w:val="single" w:color="D9E0E3" w:sz="2"/>
        </w:tblBorders>
      </w:tblPr>
      <w:tblGrid>
        <w:gridCol w:w="100"/>
        <w:gridCol w:w="100"/>
        <w:gridCol w:w="100"/>
        <w:gridCol w:w="100"/>
      </w:tblGrid>
      <w:tr>
        <w:trPr>
          <w:tblHeader/>
        </w:trPr>
        <w:tc>
          <w:tcPr>
            <w:tcW w:type="dxa" w:w="241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
            </w:r>
          </w:p>
        </w:tc>
        <w:tc>
          <w:tcPr>
            <w:tcW w:type="dxa" w:w="241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Corpus repartido</w:t>
            </w:r>
          </w:p>
        </w:tc>
        <w:tc>
          <w:tcPr>
            <w:tcW w:type="dxa" w:w="241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Un tema domina</w:t>
            </w:r>
          </w:p>
        </w:tc>
        <w:tc>
          <w:tcPr>
            <w:tcW w:type="dxa" w:w="241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Dos que no leen</w:t>
            </w:r>
          </w:p>
        </w:tc>
      </w:tr>
      <w:tr>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La situación</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Gestión 14, infraestructura 9, presupuesto 8, transparencia 7.</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Ambos usan «gestión» 35 veces y otra categoría 3.</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Ambos escriben «gestión» siempre.</w:t>
            </w:r>
          </w:p>
        </w:tc>
      </w:tr>
      <w:tr>
        <w:tc>
          <w:tcPr>
            <w:tcW w:type="dxa" w:w="241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Acuerdo observado</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36/38 = 94.7%</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36/38 = 94.7%</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37/38 = 97.4%</w:t>
            </w:r>
          </w:p>
        </w:tc>
      </w:tr>
      <w:tr>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Esperado por azar</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390/1444 = 27.0%</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1234/1444 = 85.5%</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97.4%</w:t>
            </w:r>
          </w:p>
        </w:tc>
      </w:tr>
      <w:tr>
        <w:tc>
          <w:tcPr>
            <w:tcW w:type="dxa" w:w="241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Kappa</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0.928</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0.638</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0.000</w:t>
            </w:r>
          </w:p>
        </w:tc>
      </w:tr>
    </w:tbl>
    <w:p>
      <w:pPr>
        <w:spacing w:after="120" w:line="276"/>
        <w:jc w:val="both"/>
      </w:pPr>
      <w:r>
        <w:rPr>
          <w:rFonts w:ascii="Calibri" w:cs="Calibri" w:eastAsia="Calibri" w:hAnsi="Calibri"/>
          <w:color w:val="16262E"/>
          <w:sz w:val="20"/>
          <w:szCs w:val="20"/>
        </w:rPr>
        <w:t xml:space="preserve">El mismo 94.7 por ciento vale 0.93 en un corpus repartido y 0.64 cuando un tema domina. Y dos personas que nunca abren el archivo llegan al 97.4 por ciento con kappa exactamente cero: todo su acuerdo era gratis.</w:t>
      </w:r>
    </w:p>
    <w:p>
      <w:pPr>
        <w:spacing w:after="160" w:line="276"/>
        <w:jc w:val="both"/>
      </w:pPr>
      <w:r>
        <w:rPr>
          <w:rFonts w:ascii="Calibri" w:cs="Calibri" w:eastAsia="Calibri" w:hAnsi="Calibri"/>
          <w:color w:val="16262E"/>
          <w:sz w:val="20"/>
          <w:szCs w:val="20"/>
        </w:rPr>
        <w:t xml:space="preserve">Un supuesto que conviene declarar: el cálculo de la primera columna asume que ambas personas repartieron las categorías en las mismas proporciones. Estrictamente, eso es el pi de Scott y no la kappa de Cohen. Aquí el supuesto es inofensivo, porque recorriendo todas las configuraciones admisibles de las marginales de la segunda persona, kappa se mueve solo entre 0.927 y 0.929. En las otras dos columnas las marginales son justamente lo que decide el resultado.</w:t>
      </w:r>
    </w:p>
    <w:p>
      <w:pPr>
        <w:spacing w:after="80" w:line="276"/>
        <w:jc w:val="both"/>
      </w:pPr>
      <w:r>
        <w:rPr>
          <w:rFonts w:ascii="Calibri" w:cs="Calibri" w:eastAsia="Calibri" w:hAnsi="Calibri"/>
          <w:b/>
          <w:bCs/>
          <w:color w:val="16262E"/>
          <w:sz w:val="20"/>
          <w:szCs w:val="20"/>
        </w:rPr>
        <w:t xml:space="preserve">La fórmula del paso 4, con enteros.</w:t>
      </w:r>
    </w:p>
    <w:p>
      <w:pPr>
        <w:spacing w:after="140" w:line="276"/>
        <w:jc w:val="both"/>
      </w:pPr>
      <w:r>
        <w:rPr>
          <w:rFonts w:ascii="Calibri" w:cs="Calibri" w:eastAsia="Calibri" w:hAnsi="Calibri"/>
          <w:color w:val="16262E"/>
          <w:sz w:val="20"/>
          <w:szCs w:val="20"/>
        </w:rPr>
        <w:t xml:space="preserve">Con seis filas y tres niveles de confianza, multiplicar arriba y abajo por 36 deja todo en números enteros hasta la última división:</w:t>
      </w:r>
    </w:p>
    <w:p>
      <w:pPr>
        <w:spacing w:after="120" w:line="276"/>
        <w:jc w:val="both"/>
      </w:pPr>
      <w:r>
        <w:rPr>
          <w:rFonts w:ascii="Calibri" w:cs="Calibri" w:eastAsia="Calibri" w:hAnsi="Calibri"/>
          <w:b/>
          <w:bCs/>
          <w:i w:val="false"/>
          <w:iCs w:val="false"/>
          <w:color w:val="16262E"/>
          <w:sz w:val="20"/>
          <w:szCs w:val="20"/>
        </w:rPr>
        <w:t xml:space="preserve">κ = (6a − S) / (36 − S)</w:t>
      </w:r>
    </w:p>
    <w:p>
      <w:pPr>
        <w:spacing w:after="140" w:line="276"/>
        <w:jc w:val="both"/>
      </w:pPr>
      <w:r>
        <w:rPr>
          <w:rFonts w:ascii="Calibri" w:cs="Calibri" w:eastAsia="Calibri" w:hAnsi="Calibri"/>
          <w:color w:val="16262E"/>
          <w:sz w:val="20"/>
          <w:szCs w:val="20"/>
        </w:rPr>
        <w:t xml:space="preserve">donde a es en cuántas de las seis filas coincidieron los dos equipos, y S es la suma, nivel por nivel, del conteo de un equipo multiplicado por el del otro.</w:t>
      </w:r>
    </w:p>
    <w:p>
      <w:pPr>
        <w:spacing w:after="140" w:line="276"/>
        <w:jc w:val="both"/>
      </w:pPr>
      <w:r>
        <w:rPr>
          <w:rFonts w:ascii="Calibri" w:cs="Calibri" w:eastAsia="Calibri" w:hAnsi="Calibri"/>
          <w:color w:val="16262E"/>
          <w:sz w:val="20"/>
          <w:szCs w:val="20"/>
        </w:rPr>
        <w:t xml:space="preserve">Ejemplo. Su equipo puso dos filas en alta, tres en media y una en baja. El equipo revisor puso cuatro en alta, dos en media y ninguna en baja. Coincidieron en cuatro filas. Entonces a = 4 y S = (2×4) + (3×2) + (1×0) = 14. El acuerdo observado es 4/6 ≈ 0.67, que suena razonable; el corregido es κ = (24 − 14)/(36 − 14) = 10/22 ≈ 0.45. De ese 67 por ciento, buena parte se obtenía sin leer.</w:t>
      </w:r>
    </w:p>
    <w:p>
      <w:pPr>
        <w:spacing w:after="140" w:line="276"/>
        <w:jc w:val="both"/>
      </w:pPr>
      <w:r>
        <w:rPr>
          <w:rFonts w:ascii="Calibri" w:cs="Calibri" w:eastAsia="Calibri" w:hAnsi="Calibri"/>
          <w:color w:val="16262E"/>
          <w:sz w:val="20"/>
          <w:szCs w:val="20"/>
        </w:rPr>
        <w:t xml:space="preserve">Segundo ejemplo, el que probablemente le salga. Ambos equipos ponen cinco filas en alta y una en media, y coinciden en cinco. El acuerdo observado sube a 83 por ciento, pero S = 26 y κ = (30 − 26)/(36 − 26) = 0.40. Mismo trabajo, mejor porcentaje, peor kappa: cuando casi todo se declara alta, coincidir deja de ser mérito.</w:t>
      </w:r>
    </w:p>
    <w:p>
      <w:pPr>
        <w:spacing w:after="160" w:line="276"/>
        <w:jc w:val="both"/>
      </w:pPr>
      <w:r>
        <w:rPr>
          <w:rFonts w:ascii="Calibri" w:cs="Calibri" w:eastAsia="Calibri" w:hAnsi="Calibri"/>
          <w:color w:val="16262E"/>
          <w:sz w:val="20"/>
          <w:szCs w:val="20"/>
        </w:rPr>
        <w:t xml:space="preserve">Caso límite. Si los dos equipos ponen alta en las seis filas, a = 6 y S = 36, de modo que la fórmula queda 0/0. Eso no es acuerdo perfecto: significa que no hubo ninguna decisión que medir. Escríbalo así, kappa no definida.</w:t>
      </w:r>
    </w:p>
    <w:p>
      <w:pPr>
        <w:spacing w:after="80" w:line="276"/>
        <w:jc w:val="both"/>
      </w:pPr>
      <w:r>
        <w:rPr>
          <w:rFonts w:ascii="Calibri" w:cs="Calibri" w:eastAsia="Calibri" w:hAnsi="Calibri"/>
          <w:b/>
          <w:bCs/>
          <w:color w:val="16262E"/>
          <w:sz w:val="20"/>
          <w:szCs w:val="20"/>
        </w:rPr>
        <w:t xml:space="preserve">Cómo se lee un kappa, y qué no hay que creerle.</w:t>
      </w:r>
    </w:p>
    <w:tbl>
      <w:tblPr>
        <w:tblW w:type="dxa" w:w="9640"/>
        <w:tblBorders>
          <w:top w:val="single" w:color="D9E0E3" w:sz="2"/>
          <w:left w:val="single" w:color="D9E0E3" w:sz="2"/>
          <w:bottom w:val="single" w:color="D9E0E3" w:sz="2"/>
          <w:right w:val="single" w:color="D9E0E3" w:sz="2"/>
          <w:insideH w:val="single" w:color="D9E0E3" w:sz="2"/>
          <w:insideV w:val="single" w:color="D9E0E3" w:sz="2"/>
        </w:tblBorders>
      </w:tblPr>
      <w:tblGrid>
        <w:gridCol w:w="100"/>
        <w:gridCol w:w="100"/>
        <w:gridCol w:w="100"/>
      </w:tblGrid>
      <w:tr>
        <w:trPr>
          <w:tblHeader/>
        </w:trPr>
        <w:tc>
          <w:tcPr>
            <w:tcW w:type="dxa" w:w="241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Rango</w:t>
            </w:r>
          </w:p>
        </w:tc>
        <w:tc>
          <w:tcPr>
            <w:tcW w:type="dxa" w:w="241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Etiqueta</w:t>
            </w:r>
          </w:p>
        </w:tc>
        <w:tc>
          <w:tcPr>
            <w:tcW w:type="dxa" w:w="482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Advertencia</w:t>
            </w:r>
          </w:p>
        </w:tc>
      </w:tr>
      <w:tr>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Menor que 0</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Pobre</w:t>
            </w:r>
          </w:p>
        </w:tc>
        <w:tc>
          <w:tcPr>
            <w:tcW w:type="dxa" w:w="482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Coincidieron menos de lo que el azar predecía.</w:t>
            </w:r>
          </w:p>
        </w:tc>
      </w:tr>
      <w:tr>
        <w:tc>
          <w:tcPr>
            <w:tcW w:type="dxa" w:w="241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0.00 a 0.20</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Leve</w:t>
            </w:r>
          </w:p>
        </w:tc>
        <w:tc>
          <w:tcPr>
            <w:tcW w:type="dxa" w:w="482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Los cortes son una convención de Landis y Koch (1977) que los propios autores llamaron arbitraria.</w:t>
            </w:r>
          </w:p>
        </w:tc>
      </w:tr>
      <w:tr>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0.21 a 0.40</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Discreto (fair)</w:t>
            </w:r>
          </w:p>
        </w:tc>
        <w:tc>
          <w:tcPr>
            <w:tcW w:type="dxa" w:w="482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Cuidado con traducirlo como «aceptable»: McHugh lo clasifica como mínimo.</w:t>
            </w:r>
          </w:p>
        </w:tc>
      </w:tr>
      <w:tr>
        <w:tc>
          <w:tcPr>
            <w:tcW w:type="dxa" w:w="241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0.41 a 0.60</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Moderado</w:t>
            </w:r>
          </w:p>
        </w:tc>
        <w:tc>
          <w:tcPr>
            <w:tcW w:type="dxa" w:w="482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Nada ocurre entre 0.60 y 0.61. El umbral se fija antes de ver el resultado.</w:t>
            </w:r>
          </w:p>
        </w:tc>
      </w:tr>
      <w:tr>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0.61 a 0.80</w:t>
            </w:r>
          </w:p>
        </w:tc>
        <w:tc>
          <w:tcPr>
            <w:tcW w:type="dxa" w:w="241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Sustancial</w:t>
            </w:r>
          </w:p>
        </w:tc>
        <w:tc>
          <w:tcPr>
            <w:tcW w:type="dxa" w:w="482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Circulan dos versiones de la tabla: la original de Landis y Koch y la de Viera y Garrett (2005), que difieren en los extremos.</w:t>
            </w:r>
          </w:p>
        </w:tc>
      </w:tr>
      <w:tr>
        <w:tc>
          <w:tcPr>
            <w:tcW w:type="dxa" w:w="241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0.81 a 1.00</w:t>
            </w:r>
          </w:p>
        </w:tc>
        <w:tc>
          <w:tcPr>
            <w:tcW w:type="dxa" w:w="241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Casi perfecto</w:t>
            </w:r>
          </w:p>
        </w:tc>
        <w:tc>
          <w:tcPr>
            <w:tcW w:type="dxa" w:w="482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Reporte siempre el valor junto al acuerdo observado, el número de casos y las marginales.</w:t>
            </w:r>
          </w:p>
        </w:tc>
      </w:tr>
    </w:tbl>
    <w:p>
      <w:pPr>
        <w:spacing w:after="140" w:line="276"/>
        <w:jc w:val="both"/>
      </w:pPr>
      <w:r>
        <w:rPr>
          <w:rFonts w:ascii="Calibri" w:cs="Calibri" w:eastAsia="Calibri" w:hAnsi="Calibri"/>
          <w:color w:val="16262E"/>
          <w:sz w:val="20"/>
          <w:szCs w:val="20"/>
        </w:rPr>
        <w:t xml:space="preserve">Tres cosas más que conviene saber. La kappa de Cohen es para dos personas: con más codificadores, con datos faltantes o con categorías ordenadas, se usa el alfa de Krippendorff. Con pocos casos el número es muy inestable: hay kappas publicadas de 0.042 cuyo intervalo de confianza va de −1 a 1. Y un kappa bajo no acusa a quienes codificaron: dice que el libro de códigos no está bien definido, que es un resultado accionable y no una calificación.</w:t>
      </w:r>
    </w:p>
    <w:p>
      <w:pPr>
        <w:pStyle w:val="Heading1"/>
        <w:spacing w:after="160" w:before="320"/>
      </w:pPr>
      <w:r>
        <w:rPr>
          <w:rFonts w:ascii="Calibri" w:cs="Calibri" w:eastAsia="Calibri" w:hAnsi="Calibri"/>
          <w:b/>
          <w:bCs/>
          <w:color w:val="16262E"/>
          <w:sz w:val="26"/>
          <w:szCs w:val="26"/>
        </w:rPr>
        <w:t xml:space="preserve">5. La matriz de evidencia y el nivel de confianza</w:t>
      </w:r>
    </w:p>
    <w:p>
      <w:pPr>
        <w:spacing w:after="140" w:line="276"/>
        <w:jc w:val="both"/>
      </w:pPr>
      <w:r>
        <w:rPr>
          <w:rFonts w:ascii="Calibri" w:cs="Calibri" w:eastAsia="Calibri" w:hAnsi="Calibri"/>
          <w:color w:val="16262E"/>
          <w:sz w:val="20"/>
          <w:szCs w:val="20"/>
        </w:rPr>
        <w:t xml:space="preserve">Una fila por afirmación, y estas columnas: la afirmación tal como va a quedar escrita en el informe; la cita textual que la sostiene, copiada y no parafraseada; el documento y la sección de donde salió; la herramienta que la encontró; el nombre de quien fue a la fuente y la comprobó; y el nivel de confianza.</w:t>
      </w:r>
    </w:p>
    <w:p>
      <w:pPr>
        <w:spacing w:after="140" w:line="276"/>
        <w:jc w:val="both"/>
      </w:pPr>
      <w:r>
        <w:rPr>
          <w:rFonts w:ascii="Calibri" w:cs="Calibri" w:eastAsia="Calibri" w:hAnsi="Calibri"/>
          <w:color w:val="16262E"/>
          <w:sz w:val="20"/>
          <w:szCs w:val="20"/>
        </w:rPr>
        <w:t xml:space="preserve">El nivel se declara siempre, incluso cuando es alta. Confianza alta significa que dos o más fuentes independientes del expediente la sostienen y dicen lo mismo. Media, que una sola fuente directa la sostiene: alcanza para afirmarla, y quien lea el informe tiene derecho a saber que descansa en un solo documento. Baja, que la evidencia es indirecta o que la afirmación es una inferencia razonable: entra declarada como hipótesis, nunca como hallazgo.</w:t>
      </w:r>
    </w:p>
    <w:p>
      <w:pPr>
        <w:spacing w:after="140" w:line="276"/>
        <w:jc w:val="both"/>
      </w:pPr>
      <w:r>
        <w:rPr>
          <w:rFonts w:ascii="Calibri" w:cs="Calibri" w:eastAsia="Calibri" w:hAnsi="Calibri"/>
          <w:color w:val="16262E"/>
          <w:sz w:val="20"/>
          <w:szCs w:val="20"/>
        </w:rPr>
        <w:t xml:space="preserve">Esto no es una invención del curso. Guba (1981) lo llama pista de auditoría y pide que un externo pueda examinar cómo se recolectaron los datos y cómo se llegó a cada interpretación. El IPCC exige un «traceable account» con nivel de confianza declarado. El enfoque CERQual califica la confianza de cada hallazgo cualitativo. Y los Lineamientos generales para la evaluación de los Programas Federales, publicados en el DOF el 30 de marzo de 2007, obligan a publicar por cada evaluación externa las bases de datos generadas, los instrumentos de recolección y una nota metodológica con las técnicas, el diseño muestral y los supuestos empleados.</w:t>
      </w:r>
    </w:p>
    <w:p>
      <w:pPr>
        <w:pStyle w:val="Heading1"/>
        <w:spacing w:after="160" w:before="320"/>
      </w:pPr>
      <w:r>
        <w:rPr>
          <w:rFonts w:ascii="Calibri" w:cs="Calibri" w:eastAsia="Calibri" w:hAnsi="Calibri"/>
          <w:b/>
          <w:bCs/>
          <w:color w:val="16262E"/>
          <w:sz w:val="26"/>
          <w:szCs w:val="26"/>
        </w:rPr>
        <w:t xml:space="preserve">6. El laboratorio de hoy</w:t>
      </w:r>
    </w:p>
    <w:p>
      <w:pPr>
        <w:spacing w:after="140" w:line="276"/>
        <w:jc w:val="both"/>
      </w:pPr>
      <w:r>
        <w:rPr>
          <w:rFonts w:ascii="Calibri" w:cs="Calibri" w:eastAsia="Calibri" w:hAnsi="Calibri"/>
          <w:color w:val="16262E"/>
          <w:sz w:val="20"/>
          <w:szCs w:val="20"/>
        </w:rPr>
        <w:t xml:space="preserve">Cuarenta y ocho minutos de práctica, de 10:28 a 11:16. Los cortes están en hora absoluta para que cada equipo se autorregule.</w:t>
      </w:r>
    </w:p>
    <w:tbl>
      <w:tblPr>
        <w:tblW w:type="dxa" w:w="9640"/>
        <w:tblBorders>
          <w:top w:val="single" w:color="D9E0E3" w:sz="2"/>
          <w:left w:val="single" w:color="D9E0E3" w:sz="2"/>
          <w:bottom w:val="single" w:color="D9E0E3" w:sz="2"/>
          <w:right w:val="single" w:color="D9E0E3" w:sz="2"/>
          <w:insideH w:val="single" w:color="D9E0E3" w:sz="2"/>
          <w:insideV w:val="single" w:color="D9E0E3" w:sz="2"/>
        </w:tblBorders>
      </w:tblPr>
      <w:tblGrid>
        <w:gridCol w:w="100"/>
        <w:gridCol w:w="100"/>
        <w:gridCol w:w="100"/>
      </w:tblGrid>
      <w:tr>
        <w:trPr>
          <w:tblHeader/>
        </w:trPr>
        <w:tc>
          <w:tcPr>
            <w:tcW w:type="dxa" w:w="110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Paso</w:t>
            </w:r>
          </w:p>
        </w:tc>
        <w:tc>
          <w:tcPr>
            <w:tcW w:type="dxa" w:w="554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Qué hacen</w:t>
            </w:r>
          </w:p>
        </w:tc>
        <w:tc>
          <w:tcPr>
            <w:tcW w:type="dxa" w:w="3000"/>
            <w:shd w:fill="16262E" w:val="clear"/>
            <w:tcMar>
              <w:top w:type="dxa" w:w="80"/>
              <w:left w:type="dxa" w:w="110"/>
              <w:bottom w:type="dxa" w:w="80"/>
              <w:right w:type="dxa" w:w="110"/>
            </w:tcMar>
          </w:tcPr>
          <w:p>
            <w:pPr>
              <w:spacing w:after="0" w:line="252"/>
              <w:jc w:val="left"/>
            </w:pPr>
            <w:r>
              <w:rPr>
                <w:rFonts w:ascii="Calibri" w:cs="Calibri" w:eastAsia="Calibri" w:hAnsi="Calibri"/>
                <w:b/>
                <w:bCs/>
                <w:color w:val="FFFFFF"/>
                <w:sz w:val="19"/>
                <w:szCs w:val="19"/>
              </w:rPr>
              <w:t xml:space="preserve">Corte</w:t>
            </w:r>
          </w:p>
        </w:tc>
      </w:tr>
      <w:tr>
        <w:tc>
          <w:tcPr>
            <w:tcW w:type="dxa" w:w="110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1</w:t>
            </w:r>
          </w:p>
        </w:tc>
        <w:tc>
          <w:tcPr>
            <w:tcW w:type="dxa" w:w="554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Leer el expediente, escribir en una línea qué va a significar para el equipo confianza alta, media y baja, e identificar patrones con las técnicas de la sesión 4.</w:t>
            </w:r>
          </w:p>
        </w:tc>
        <w:tc>
          <w:tcPr>
            <w:tcW w:type="dxa" w:w="300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10 min · 10:38</w:t>
            </w:r>
          </w:p>
        </w:tc>
      </w:tr>
      <w:tr>
        <w:tc>
          <w:tcPr>
            <w:tcW w:type="dxa" w:w="110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2</w:t>
            </w:r>
          </w:p>
        </w:tc>
        <w:tc>
          <w:tcPr>
            <w:tcW w:type="dxa" w:w="554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Construir la matriz con seis afirmaciones trazadas.</w:t>
            </w:r>
          </w:p>
        </w:tc>
        <w:tc>
          <w:tcPr>
            <w:tcW w:type="dxa" w:w="300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20 min · 10:58</w:t>
            </w:r>
          </w:p>
        </w:tc>
      </w:tr>
      <w:tr>
        <w:tc>
          <w:tcPr>
            <w:tcW w:type="dxa" w:w="110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3</w:t>
            </w:r>
          </w:p>
        </w:tc>
        <w:tc>
          <w:tcPr>
            <w:tcW w:type="dxa" w:w="554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Intercambiar la matriz con el equipo par. Asignar nivel de confianza a las seis filas leyendo solo cita y fuente, y verificar tres de ellas contra el expediente.</w:t>
            </w:r>
          </w:p>
        </w:tc>
        <w:tc>
          <w:tcPr>
            <w:tcW w:type="dxa" w:w="300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11 min · 11:09</w:t>
            </w:r>
          </w:p>
        </w:tc>
      </w:tr>
      <w:tr>
        <w:tc>
          <w:tcPr>
            <w:tcW w:type="dxa" w:w="1100"/>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4</w:t>
            </w:r>
          </w:p>
        </w:tc>
        <w:tc>
          <w:tcPr>
            <w:tcW w:type="dxa" w:w="554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Calcular los dos números: cuántas de las tres resistieron, en fracción, y el acuerdo corregido por azar.</w:t>
            </w:r>
          </w:p>
        </w:tc>
        <w:tc>
          <w:tcPr>
            <w:tcW w:type="dxa" w:w="3000"/>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5 min · 11:14</w:t>
            </w:r>
          </w:p>
        </w:tc>
      </w:tr>
      <w:tr>
        <w:tc>
          <w:tcPr>
            <w:tcW w:type="dxa" w:w="1100"/>
            <w:shd w:fill="F2F5F6" w:val="clear"/>
            <w:tcMar>
              <w:top w:type="dxa" w:w="80"/>
              <w:left w:type="dxa" w:w="110"/>
              <w:bottom w:type="dxa" w:w="80"/>
              <w:right w:type="dxa" w:w="110"/>
            </w:tcMar>
          </w:tcPr>
          <w:p>
            <w:pPr>
              <w:spacing w:after="0" w:line="252"/>
              <w:jc w:val="left"/>
            </w:pPr>
            <w:r>
              <w:rPr>
                <w:rFonts w:ascii="Calibri" w:cs="Calibri" w:eastAsia="Calibri" w:hAnsi="Calibri"/>
                <w:b/>
                <w:bCs/>
                <w:color w:val="16262E"/>
                <w:sz w:val="19"/>
                <w:szCs w:val="19"/>
              </w:rPr>
              <w:t xml:space="preserve">5</w:t>
            </w:r>
          </w:p>
        </w:tc>
        <w:tc>
          <w:tcPr>
            <w:tcW w:type="dxa" w:w="554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Elegir la afirmación que más trabajo costó trazar.</w:t>
            </w:r>
          </w:p>
        </w:tc>
        <w:tc>
          <w:tcPr>
            <w:tcW w:type="dxa" w:w="3000"/>
            <w:shd w:fill="F2F5F6" w:val="clear"/>
            <w:tcMar>
              <w:top w:type="dxa" w:w="80"/>
              <w:left w:type="dxa" w:w="110"/>
              <w:bottom w:type="dxa" w:w="80"/>
              <w:right w:type="dxa" w:w="110"/>
            </w:tcMar>
          </w:tcPr>
          <w:p>
            <w:pPr>
              <w:spacing w:after="0" w:line="252"/>
              <w:jc w:val="left"/>
            </w:pPr>
            <w:r>
              <w:rPr>
                <w:rFonts w:ascii="Calibri" w:cs="Calibri" w:eastAsia="Calibri" w:hAnsi="Calibri"/>
                <w:b w:val="false"/>
                <w:bCs w:val="false"/>
                <w:color w:val="16262E"/>
                <w:sz w:val="19"/>
                <w:szCs w:val="19"/>
              </w:rPr>
              <w:t xml:space="preserve">2 min · 11:16</w:t>
            </w:r>
          </w:p>
        </w:tc>
      </w:tr>
    </w:tbl>
    <w:p>
      <w:pPr>
        <w:spacing w:after="60" w:line="276"/>
        <w:jc w:val="both"/>
      </w:pPr>
      <w:r>
        <w:rPr>
          <w:rFonts w:ascii="Calibri" w:cs="Calibri" w:eastAsia="Calibri" w:hAnsi="Calibri"/>
          <w:color w:val="16262E"/>
          <w:sz w:val="20"/>
          <w:szCs w:val="20"/>
        </w:rPr>
        <w:t xml:space="preserve"/>
      </w:r>
    </w:p>
    <w:p>
      <w:pPr>
        <w:spacing w:after="140" w:line="276"/>
        <w:jc w:val="both"/>
      </w:pPr>
      <w:r>
        <w:rPr>
          <w:rFonts w:ascii="Calibri" w:cs="Calibri" w:eastAsia="Calibri" w:hAnsi="Calibri"/>
          <w:b/>
          <w:bCs/>
          <w:i w:val="false"/>
          <w:iCs w:val="false"/>
          <w:color w:val="16262E"/>
          <w:sz w:val="20"/>
          <w:szCs w:val="20"/>
        </w:rPr>
        <w:t xml:space="preserve">La regla dura: </w:t>
      </w:r>
      <w:r>
        <w:rPr>
          <w:rFonts w:ascii="Calibri" w:cs="Calibri" w:eastAsia="Calibri" w:hAnsi="Calibri"/>
          <w:b w:val="false"/>
          <w:bCs w:val="false"/>
          <w:i w:val="false"/>
          <w:iCs w:val="false"/>
          <w:color w:val="16262E"/>
          <w:sz w:val="20"/>
          <w:szCs w:val="20"/>
        </w:rPr>
        <w:t xml:space="preserve">ninguna frase de la síntesis puede afirmar algo que no esté en la matriz. Si una afirmación le parece evidente pero no la puede trazar a un documento del expediente o al marco normativo, tiene dos opciones: no entra, o entra declarada como hipótesis con confianza baja. Esa restricción es incómoda a propósito, y es lo que hace que el ejercicio se parezca al trabajo real.</w:t>
      </w:r>
    </w:p>
    <w:p>
      <w:pPr>
        <w:spacing w:after="140" w:line="276"/>
        <w:jc w:val="both"/>
      </w:pPr>
      <w:r>
        <w:rPr>
          <w:rFonts w:ascii="Calibri" w:cs="Calibri" w:eastAsia="Calibri" w:hAnsi="Calibri"/>
          <w:color w:val="16262E"/>
          <w:sz w:val="20"/>
          <w:szCs w:val="20"/>
        </w:rPr>
        <w:t xml:space="preserve">Los pares de revisión son equipos 1 y 6, equipos 2 y 5, y equipos 3 y 4. No son azarosos: cada par junta dos casos que se iluminan entre sí.</w:t>
      </w:r>
    </w:p>
    <w:p>
      <w:pPr>
        <w:spacing w:after="140" w:line="276"/>
        <w:jc w:val="both"/>
      </w:pPr>
      <w:r>
        <w:rPr>
          <w:rFonts w:ascii="Calibri" w:cs="Calibri" w:eastAsia="Calibri" w:hAnsi="Calibri"/>
          <w:color w:val="16262E"/>
          <w:sz w:val="20"/>
          <w:szCs w:val="20"/>
        </w:rPr>
        <w:t xml:space="preserve">Y declaren el alcance en una línea: seis filas y tres verificaciones ilustran la mecánica sobre su propio trabajo, pero no estiman la calidad de su matriz. Declarar el alcance de una medición es parte de lo que se evalúa hoy.</w:t>
      </w:r>
    </w:p>
    <w:p>
      <w:pPr>
        <w:pStyle w:val="Heading1"/>
        <w:spacing w:after="160" w:before="320"/>
      </w:pPr>
      <w:r>
        <w:rPr>
          <w:rFonts w:ascii="Calibri" w:cs="Calibri" w:eastAsia="Calibri" w:hAnsi="Calibri"/>
          <w:b/>
          <w:bCs/>
          <w:color w:val="16262E"/>
          <w:sz w:val="26"/>
          <w:szCs w:val="26"/>
        </w:rPr>
        <w:t xml:space="preserve">7. Lo que entregas</w:t>
      </w:r>
    </w:p>
    <w:p>
      <w:pPr>
        <w:pStyle w:val="ListParagraph"/>
        <w:numPr>
          <w:ilvl w:val="0"/>
          <w:numId w:val="1"/>
        </w:numPr>
        <w:spacing w:after="100" w:line="276"/>
        <w:jc w:val="both"/>
      </w:pPr>
      <w:r>
        <w:rPr>
          <w:rFonts w:ascii="Calibri" w:cs="Calibri" w:eastAsia="Calibri" w:hAnsi="Calibri"/>
          <w:color w:val="16262E"/>
          <w:sz w:val="20"/>
          <w:szCs w:val="20"/>
        </w:rPr>
        <w:t xml:space="preserve">La matriz de evidencia del equipo, con seis afirmaciones trazadas y la definición operativa de confianza alta, media y baja que escribieron en el paso 1.</w:t>
      </w:r>
    </w:p>
    <w:p>
      <w:pPr>
        <w:pStyle w:val="ListParagraph"/>
        <w:numPr>
          <w:ilvl w:val="0"/>
          <w:numId w:val="1"/>
        </w:numPr>
        <w:spacing w:after="100" w:line="276"/>
        <w:jc w:val="both"/>
      </w:pPr>
      <w:r>
        <w:rPr>
          <w:rFonts w:ascii="Calibri" w:cs="Calibri" w:eastAsia="Calibri" w:hAnsi="Calibri"/>
          <w:color w:val="16262E"/>
          <w:sz w:val="20"/>
          <w:szCs w:val="20"/>
        </w:rPr>
        <w:t xml:space="preserve">Los dos números de la medición cruzada, con el alcance declarado en una línea.</w:t>
      </w:r>
    </w:p>
    <w:p>
      <w:pPr>
        <w:pStyle w:val="ListParagraph"/>
        <w:numPr>
          <w:ilvl w:val="0"/>
          <w:numId w:val="1"/>
        </w:numPr>
        <w:spacing w:after="100" w:line="276"/>
        <w:jc w:val="both"/>
      </w:pPr>
      <w:r>
        <w:rPr>
          <w:rFonts w:ascii="Calibri" w:cs="Calibri" w:eastAsia="Calibri" w:hAnsi="Calibri"/>
          <w:color w:val="16262E"/>
          <w:sz w:val="20"/>
          <w:szCs w:val="20"/>
        </w:rPr>
        <w:t xml:space="preserve">La síntesis de dos cuartillas que responde su pregunta de evaluación. Se termina en casa y se entrega mañana miércoles antes de las 9:00, con el nombre S06_Equipo##_Sintesis.docx.</w:t>
      </w:r>
    </w:p>
    <w:p>
      <w:pPr>
        <w:pStyle w:val="ListParagraph"/>
        <w:numPr>
          <w:ilvl w:val="0"/>
          <w:numId w:val="1"/>
        </w:numPr>
        <w:spacing w:after="100" w:line="276"/>
        <w:jc w:val="both"/>
      </w:pPr>
      <w:r>
        <w:rPr>
          <w:rFonts w:ascii="Calibri" w:cs="Calibri" w:eastAsia="Calibri" w:hAnsi="Calibri"/>
          <w:color w:val="16262E"/>
          <w:sz w:val="20"/>
          <w:szCs w:val="20"/>
        </w:rPr>
        <w:t xml:space="preserve">La bitácora individual consolidada de las seis sesiones, que es el entregable con más peso del bloque y se entrega hoy.</w:t>
      </w:r>
    </w:p>
    <w:p>
      <w:pPr>
        <w:spacing w:after="140" w:line="276"/>
        <w:jc w:val="both"/>
      </w:pPr>
      <w:r>
        <w:rPr>
          <w:rFonts w:ascii="Calibri" w:cs="Calibri" w:eastAsia="Calibri" w:hAnsi="Calibri"/>
          <w:color w:val="16262E"/>
          <w:sz w:val="20"/>
          <w:szCs w:val="20"/>
        </w:rPr>
        <w:t xml:space="preserve">Hoy cierra también el plazo del tema definitivo y la ficha de idoneidad del proyecto integrador.</w:t>
      </w:r>
    </w:p>
    <w:p>
      <w:pPr>
        <w:pStyle w:val="Heading1"/>
        <w:spacing w:after="160" w:before="320"/>
      </w:pPr>
      <w:r>
        <w:rPr>
          <w:rFonts w:ascii="Calibri" w:cs="Calibri" w:eastAsia="Calibri" w:hAnsi="Calibri"/>
          <w:b/>
          <w:bCs/>
          <w:color w:val="16262E"/>
          <w:sz w:val="26"/>
          <w:szCs w:val="26"/>
        </w:rPr>
        <w:t xml:space="preserve">8. Fuentes</w:t>
      </w:r>
    </w:p>
    <w:p>
      <w:pPr>
        <w:spacing w:after="140" w:line="276"/>
        <w:jc w:val="both"/>
      </w:pPr>
      <w:r>
        <w:rPr>
          <w:rFonts w:ascii="Calibri" w:cs="Calibri" w:eastAsia="Calibri" w:hAnsi="Calibri"/>
          <w:color w:val="5A6B73"/>
          <w:sz w:val="18"/>
          <w:szCs w:val="18"/>
        </w:rPr>
        <w:t xml:space="preserve">Medir la extracción: van Rijsbergen (1979), Information Retrieval, 2ª edición, capítulo 7. Chinchor (1992), «MUC-4 Evaluation Metrics», Proceedings of MUC-4, páginas 22 a 29. Manning, Raghavan y Schütze (2008), Introduction to Information Retrieval, sección 8.3. Tjong Kim Sang y De Meulder (2003), «Introduction to the CoNLL-2003 Shared Task». Hendrycks y otros (2021), «CUAD».</w:t>
      </w:r>
    </w:p>
    <w:p>
      <w:pPr>
        <w:spacing w:after="140" w:line="276"/>
        <w:jc w:val="both"/>
      </w:pPr>
      <w:r>
        <w:rPr>
          <w:rFonts w:ascii="Calibri" w:cs="Calibri" w:eastAsia="Calibri" w:hAnsi="Calibri"/>
          <w:color w:val="5A6B73"/>
          <w:sz w:val="18"/>
          <w:szCs w:val="18"/>
        </w:rPr>
        <w:t xml:space="preserve">Acuerdo entre codificadores: Cohen (1960), «A coefficient of agreement for nominal scales», Educational and Psychological Measurement 20(1). Landis y Koch (1977), «The measurement of observer agreement for categorical data», Biometrics 33(1). Feinstein y Cicchetti (1990), «High agreement but low kappa», Journal of Clinical Epidemiology 43(6). Viera y Garrett (2005), «Understanding Interobserver Agreement: The Kappa Statistic», Family Medicine 37(5). McHugh (2012), «Interrater reliability: the kappa statistic», Biochemia Medica 22(3). Zec y otros (2017), «High Agreement and High Prevalence: The Paradox of Cohen’s Kappa». Hayes y Krippendorff (2007), «Answering the Call for a Standard Reliability Measure for Coding Data».</w:t>
      </w:r>
    </w:p>
    <w:p>
      <w:pPr>
        <w:spacing w:after="140" w:line="276"/>
        <w:jc w:val="both"/>
      </w:pPr>
      <w:r>
        <w:rPr>
          <w:rFonts w:ascii="Calibri" w:cs="Calibri" w:eastAsia="Calibri" w:hAnsi="Calibri"/>
          <w:color w:val="5A6B73"/>
          <w:sz w:val="18"/>
          <w:szCs w:val="18"/>
        </w:rPr>
        <w:t xml:space="preserve">Atribución y fidelidad: Rashkin y otros (2023), «Measuring Attribution in Natural Language Generation Models», Computational Linguistics 49(4). Liu, Zhang y Liang (2023), «Evaluating Verifiability in Generative Search Engines», Findings of EMNLP. Zhang, Wan y Bansal (2023), «Extractive is not Faithful», ACL. Maynez y otros (2020), «On Faithfulness and Factuality in Abstractive Summarization», ACL. Huang y otros (2024), «Large Language Models Cannot Self-Correct Reasoning Yet», ICLR.</w:t>
      </w:r>
    </w:p>
    <w:p>
      <w:pPr>
        <w:spacing w:after="140" w:line="276"/>
        <w:jc w:val="both"/>
      </w:pPr>
      <w:r>
        <w:rPr>
          <w:rFonts w:ascii="Calibri" w:cs="Calibri" w:eastAsia="Calibri" w:hAnsi="Calibri"/>
          <w:color w:val="5A6B73"/>
          <w:sz w:val="18"/>
          <w:szCs w:val="18"/>
        </w:rPr>
        <w:t xml:space="preserve">Rigor y trazabilidad: Guba (1981), «Criteria for assessing the trustworthiness of naturalistic inquiries», ECTJ 29(2). IPCC (2010), Guidance Note for Lead Authors on Consistent Treatment of Uncertainties. Lewin y otros (2015), «Using qualitative evidence in decision making: the CERQual approach», PLoS Medicine. CONEVAL, Lineamientos generales para la evaluación de los Programas Federales de la Administración Pública Federal, DOF 30 de marzo de 2007, lineamiento vigésimo octavo.</w:t>
      </w:r>
    </w:p>
    <w:p>
      <w:pPr>
        <w:spacing w:after="140" w:line="276"/>
        <w:jc w:val="both"/>
      </w:pPr>
      <w:r>
        <w:rPr>
          <w:rFonts w:ascii="Calibri" w:cs="Calibri" w:eastAsia="Calibri" w:hAnsi="Calibri"/>
          <w:i/>
          <w:iCs/>
          <w:color w:val="5A6B73"/>
          <w:sz w:val="16"/>
          <w:szCs w:val="16"/>
        </w:rPr>
        <w:t xml:space="preserve">Fuentes abiertas y verificadas el 21 de septiembre de 2026. Las obras citadas son de sus autores y no las cubre la licencia del curso.</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3"/>
        <w:sz w:val="16"/>
        <w:szCs w:val="16"/>
      </w:rPr>
      <w:t xml:space="preserve">Sesión 6. Curso de Inteligencia Artificial Aplicada. INEGI 2026. Página </w:t>
    </w:r>
    <w:r>
      <w:rPr>
        <w:rFonts w:ascii="Calibri" w:cs="Calibri" w:eastAsia="Calibri" w:hAnsi="Calibri"/>
        <w:b/>
        <w:bCs/>
        <w:color w:val="5A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6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2026-09-21T23:03:24.661Z</dcterms:created>
  <dcterms:modified xsi:type="dcterms:W3CDTF">2026-09-21T23:03:24.662Z</dcterms:modified>
</cp:coreProperties>
</file>

<file path=docProps/custom.xml><?xml version="1.0" encoding="utf-8"?>
<Properties xmlns="http://schemas.openxmlformats.org/officeDocument/2006/custom-properties" xmlns:vt="http://schemas.openxmlformats.org/officeDocument/2006/docPropsVTypes"/>
</file>