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7D7D"/>
          <w:spacing w:val="60"/>
          <w:sz w:val="18"/>
          <w:szCs w:val="18"/>
        </w:rPr>
        <w:t xml:space="preserve">SESIÓN 4</w:t>
      </w:r>
    </w:p>
    <w:p>
      <w:pPr>
        <w:spacing w:after="60"/>
      </w:pPr>
      <w:r>
        <w:rPr>
          <w:rFonts w:ascii="Arial" w:cs="Arial" w:eastAsia="Arial" w:hAnsi="Arial"/>
          <w:b/>
          <w:bCs/>
          <w:color w:val="16262E"/>
          <w:sz w:val="36"/>
          <w:szCs w:val="36"/>
        </w:rPr>
        <w:t xml:space="preserve">Cómo trabajar con mucho texto</w:t>
      </w:r>
    </w:p>
    <w:p>
      <w:pPr>
        <w:spacing w:after="300"/>
      </w:pPr>
      <w:r>
        <w:rPr>
          <w:rFonts w:ascii="Arial" w:cs="Arial" w:eastAsia="Arial" w:hAnsi="Arial"/>
          <w:color w:val="5A6B73"/>
          <w:sz w:val="20"/>
          <w:szCs w:val="20"/>
        </w:rPr>
        <w:t xml:space="preserve">Viernes 18 de septiembre de 2026. Hoja de trabajo para quedarte.</w:t>
      </w:r>
    </w:p>
    <w:p>
      <w:pPr>
        <w:spacing w:after="120" w:line="285"/>
        <w:jc w:val="both"/>
      </w:pPr>
      <w:r>
        <w:rPr>
          <w:rFonts w:ascii="Arial" w:cs="Arial" w:eastAsia="Arial" w:hAnsi="Arial"/>
          <w:b w:val="false"/>
          <w:bCs w:val="false"/>
          <w:i w:val="false"/>
          <w:iCs w:val="false"/>
          <w:sz w:val="21"/>
          <w:szCs w:val="21"/>
        </w:rPr>
        <w:t xml:space="preserve">Esta hoja trae las cuatro tareas del procesamiento de texto, el flujo de tres tiempos para agrupar temas, y qué hacer cuando el texto no cabe. Todas las prácticas corren en Copilot Chat con los archivos adjuntos: en el INEGI no hay Copilot dentro de Word ni de Excel.</w:t>
      </w:r>
    </w:p>
    <w:p>
      <w:pPr>
        <w:spacing w:after="120" w:line="285"/>
        <w:jc w:val="both"/>
      </w:pPr>
      <w:r>
        <w:rPr>
          <w:rFonts w:ascii="Arial" w:cs="Arial" w:eastAsia="Arial" w:hAnsi="Arial"/>
          <w:b/>
          <w:bCs/>
          <w:i w:val="false"/>
          <w:iCs w:val="false"/>
          <w:sz w:val="21"/>
          <w:szCs w:val="21"/>
        </w:rPr>
        <w:t xml:space="preserve">Repositorio del curso: github.com/xuxoramos/curso-inegi-gen-ai</w:t>
      </w:r>
    </w:p>
    <w:p>
      <w:pPr>
        <w:pStyle w:val="Heading1"/>
        <w:spacing w:after="140" w:before="300"/>
      </w:pPr>
      <w:r>
        <w:rPr>
          <w:rFonts w:ascii="Arial" w:cs="Arial" w:eastAsia="Arial" w:hAnsi="Arial"/>
          <w:b/>
          <w:bCs/>
          <w:color w:val="16262E"/>
          <w:sz w:val="27"/>
          <w:szCs w:val="27"/>
        </w:rPr>
        <w:t xml:space="preserve">1. Las cuatro tareas</w:t>
      </w:r>
    </w:p>
    <w:p>
      <w:pPr>
        <w:spacing w:after="120" w:line="285"/>
        <w:jc w:val="both"/>
      </w:pPr>
      <w:r>
        <w:rPr>
          <w:rFonts w:ascii="Arial" w:cs="Arial" w:eastAsia="Arial" w:hAnsi="Arial"/>
          <w:b w:val="false"/>
          <w:bCs w:val="false"/>
          <w:i w:val="false"/>
          <w:iCs w:val="false"/>
          <w:sz w:val="21"/>
          <w:szCs w:val="21"/>
        </w:rPr>
        <w:t xml:space="preserve">Casi todo tu trabajo con texto en volumen cae en una de estas cuatro. La pregunta antes de escribir un prompt es cuál tienes enfrente, porque el prompt es distinto en cada caso.</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2200"/>
        <w:gridCol w:w="3600"/>
        <w:gridCol w:w="3560"/>
      </w:tblGrid>
      <w:tr>
        <w:trPr>
          <w:tblHeader/>
        </w:trPr>
        <w:tc>
          <w:tcPr>
            <w:tcW w:type="dxa" w:w="22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Tarea</w:t>
            </w:r>
          </w:p>
        </w:tc>
        <w:tc>
          <w:tcPr>
            <w:tcW w:type="dxa" w:w="36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Para qué sirve</w:t>
            </w:r>
          </w:p>
        </w:tc>
        <w:tc>
          <w:tcPr>
            <w:tcW w:type="dxa" w:w="35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Ejemplo de tu trabajo</w:t>
            </w:r>
          </w:p>
        </w:tc>
      </w:tr>
      <w:tr>
        <w:tc>
          <w:tcPr>
            <w:tcW w:type="dxa" w:w="2200"/>
            <w:tcMar>
              <w:top w:type="dxa" w:w="80"/>
              <w:left w:type="dxa" w:w="100"/>
              <w:bottom w:type="dxa" w:w="80"/>
              <w:right w:type="dxa" w:w="100"/>
            </w:tcMar>
          </w:tcPr>
          <w:p>
            <w:pPr>
              <w:spacing w:after="0" w:line="275"/>
            </w:pPr>
            <w:r>
              <w:rPr>
                <w:rFonts w:ascii="Arial" w:cs="Arial" w:eastAsia="Arial" w:hAnsi="Arial"/>
                <w:b/>
                <w:bCs/>
                <w:sz w:val="19"/>
                <w:szCs w:val="19"/>
              </w:rPr>
              <w:t xml:space="preserve">Resumir</w:t>
            </w:r>
          </w:p>
        </w:tc>
        <w:tc>
          <w:tcPr>
            <w:tcW w:type="dxa" w:w="36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Convertir mucho texto en poco texto. Tiene dos formas.</w:t>
            </w:r>
          </w:p>
        </w:tc>
        <w:tc>
          <w:tcPr>
            <w:tcW w:type="dxa" w:w="35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Integrar los hallazgos de varios informes estatales.</w:t>
            </w:r>
          </w:p>
        </w:tc>
      </w:tr>
      <w:tr>
        <w:tc>
          <w:tcPr>
            <w:tcW w:type="dxa" w:w="2200"/>
            <w:tcMar>
              <w:top w:type="dxa" w:w="80"/>
              <w:left w:type="dxa" w:w="100"/>
              <w:bottom w:type="dxa" w:w="80"/>
              <w:right w:type="dxa" w:w="100"/>
            </w:tcMar>
          </w:tcPr>
          <w:p>
            <w:pPr>
              <w:spacing w:after="0" w:line="275"/>
            </w:pPr>
            <w:r>
              <w:rPr>
                <w:rFonts w:ascii="Arial" w:cs="Arial" w:eastAsia="Arial" w:hAnsi="Arial"/>
                <w:b/>
                <w:bCs/>
                <w:sz w:val="19"/>
                <w:szCs w:val="19"/>
              </w:rPr>
              <w:t xml:space="preserve">Sacar datos</w:t>
            </w:r>
          </w:p>
        </w:tc>
        <w:tc>
          <w:tcPr>
            <w:tcW w:type="dxa" w:w="36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Extraer información específica de texto denso y ponerla en tabla.</w:t>
            </w:r>
          </w:p>
        </w:tc>
        <w:tc>
          <w:tcPr>
            <w:tcW w:type="dxa" w:w="35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Sacar población objetivo, monto y requisitos de unas reglas de operación.</w:t>
            </w:r>
          </w:p>
        </w:tc>
      </w:tr>
      <w:tr>
        <w:tc>
          <w:tcPr>
            <w:tcW w:type="dxa" w:w="2200"/>
            <w:tcMar>
              <w:top w:type="dxa" w:w="80"/>
              <w:left w:type="dxa" w:w="100"/>
              <w:bottom w:type="dxa" w:w="80"/>
              <w:right w:type="dxa" w:w="100"/>
            </w:tcMar>
          </w:tcPr>
          <w:p>
            <w:pPr>
              <w:spacing w:after="0" w:line="275"/>
            </w:pPr>
            <w:r>
              <w:rPr>
                <w:rFonts w:ascii="Arial" w:cs="Arial" w:eastAsia="Arial" w:hAnsi="Arial"/>
                <w:b/>
                <w:bCs/>
                <w:sz w:val="19"/>
                <w:szCs w:val="19"/>
              </w:rPr>
              <w:t xml:space="preserve">Agrupar temas</w:t>
            </w:r>
          </w:p>
        </w:tc>
        <w:tc>
          <w:tcPr>
            <w:tcW w:type="dxa" w:w="36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Descubrir de qué hablan un montón de textos cuando son demasiados para leerlos.</w:t>
            </w:r>
          </w:p>
        </w:tc>
        <w:tc>
          <w:tcPr>
            <w:tcW w:type="dxa" w:w="35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Saber de qué se quejan los beneficiarios cuando hay miles de registros.</w:t>
            </w:r>
          </w:p>
        </w:tc>
      </w:tr>
      <w:tr>
        <w:tc>
          <w:tcPr>
            <w:tcW w:type="dxa" w:w="2200"/>
            <w:tcMar>
              <w:top w:type="dxa" w:w="80"/>
              <w:left w:type="dxa" w:w="100"/>
              <w:bottom w:type="dxa" w:w="80"/>
              <w:right w:type="dxa" w:w="100"/>
            </w:tcMar>
          </w:tcPr>
          <w:p>
            <w:pPr>
              <w:spacing w:after="0" w:line="275"/>
            </w:pPr>
            <w:r>
              <w:rPr>
                <w:rFonts w:ascii="Arial" w:cs="Arial" w:eastAsia="Arial" w:hAnsi="Arial"/>
                <w:b/>
                <w:bCs/>
                <w:sz w:val="19"/>
                <w:szCs w:val="19"/>
              </w:rPr>
              <w:t xml:space="preserve">Clasificar postura</w:t>
            </w:r>
          </w:p>
        </w:tc>
        <w:tc>
          <w:tcPr>
            <w:tcW w:type="dxa" w:w="36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Medir percepciones o cumplimiento sobre un conjunto de testimonios.</w:t>
            </w:r>
          </w:p>
        </w:tc>
        <w:tc>
          <w:tcPr>
            <w:tcW w:type="dxa" w:w="35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Procesar transcripciones de foros de consulta comunitaria.</w:t>
            </w:r>
          </w:p>
        </w:tc>
      </w:tr>
    </w:tbl>
    <w:p>
      <w:pPr>
        <w:pStyle w:val="Heading2"/>
        <w:spacing w:after="100" w:before="240"/>
      </w:pPr>
      <w:r>
        <w:rPr>
          <w:rFonts w:ascii="Arial" w:cs="Arial" w:eastAsia="Arial" w:hAnsi="Arial"/>
          <w:b/>
          <w:bCs/>
          <w:color w:val="2E7D7D"/>
          <w:sz w:val="22"/>
          <w:szCs w:val="22"/>
        </w:rPr>
        <w:t xml:space="preserve">Las dos formas de resumir</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2200"/>
        <w:gridCol w:w="3600"/>
        <w:gridCol w:w="3560"/>
      </w:tblGrid>
      <w:tr>
        <w:trPr>
          <w:tblHeader/>
        </w:trPr>
        <w:tc>
          <w:tcPr>
            <w:tcW w:type="dxa" w:w="22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Forma</w:t>
            </w:r>
          </w:p>
        </w:tc>
        <w:tc>
          <w:tcPr>
            <w:tcW w:type="dxa" w:w="36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Qué hace</w:t>
            </w:r>
          </w:p>
        </w:tc>
        <w:tc>
          <w:tcPr>
            <w:tcW w:type="dxa" w:w="35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Cuándo la usas</w:t>
            </w:r>
          </w:p>
        </w:tc>
      </w:tr>
      <w:tr>
        <w:tc>
          <w:tcPr>
            <w:tcW w:type="dxa" w:w="2200"/>
            <w:tcMar>
              <w:top w:type="dxa" w:w="80"/>
              <w:left w:type="dxa" w:w="100"/>
              <w:bottom w:type="dxa" w:w="80"/>
              <w:right w:type="dxa" w:w="100"/>
            </w:tcMar>
          </w:tcPr>
          <w:p>
            <w:pPr>
              <w:spacing w:after="0" w:line="275"/>
            </w:pPr>
            <w:r>
              <w:rPr>
                <w:rFonts w:ascii="Arial" w:cs="Arial" w:eastAsia="Arial" w:hAnsi="Arial"/>
                <w:b/>
                <w:bCs/>
                <w:sz w:val="19"/>
                <w:szCs w:val="19"/>
              </w:rPr>
              <w:t xml:space="preserve">Extractiva</w:t>
            </w:r>
          </w:p>
        </w:tc>
        <w:tc>
          <w:tcPr>
            <w:tcW w:type="dxa" w:w="36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Toma las oraciones exactas del documento, sin reescribirlas. No puede inventar porque solo puede copiar.</w:t>
            </w:r>
          </w:p>
        </w:tc>
        <w:tc>
          <w:tcPr>
            <w:tcW w:type="dxa" w:w="35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Para armar tu evidencia, cuando vas a citar el texto.</w:t>
            </w:r>
          </w:p>
        </w:tc>
      </w:tr>
      <w:tr>
        <w:tc>
          <w:tcPr>
            <w:tcW w:type="dxa" w:w="2200"/>
            <w:tcMar>
              <w:top w:type="dxa" w:w="80"/>
              <w:left w:type="dxa" w:w="100"/>
              <w:bottom w:type="dxa" w:w="80"/>
              <w:right w:type="dxa" w:w="100"/>
            </w:tcMar>
          </w:tcPr>
          <w:p>
            <w:pPr>
              <w:spacing w:after="0" w:line="275"/>
            </w:pPr>
            <w:r>
              <w:rPr>
                <w:rFonts w:ascii="Arial" w:cs="Arial" w:eastAsia="Arial" w:hAnsi="Arial"/>
                <w:b/>
                <w:bCs/>
                <w:sz w:val="19"/>
                <w:szCs w:val="19"/>
              </w:rPr>
              <w:t xml:space="preserve">Abstractiva</w:t>
            </w:r>
          </w:p>
        </w:tc>
        <w:tc>
          <w:tcPr>
            <w:tcW w:type="dxa" w:w="36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Reescribe el contenido con palabras nuevas. Es más útil y más riesgosa: puede meter matices que no estaban.</w:t>
            </w:r>
          </w:p>
        </w:tc>
        <w:tc>
          <w:tcPr>
            <w:tcW w:type="dxa" w:w="35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Para redactar tu conclusión. Compárala siempre contra la extractiva.</w:t>
            </w:r>
          </w:p>
        </w:tc>
      </w:tr>
    </w:tbl>
    <w:p>
      <w:pPr>
        <w:spacing w:after="160"/>
      </w:pPr>
    </w:p>
    <w:p>
      <w:pPr>
        <w:spacing w:after="120" w:line="285"/>
        <w:jc w:val="both"/>
      </w:pPr>
      <w:r>
        <w:rPr>
          <w:rFonts w:ascii="Arial" w:cs="Arial" w:eastAsia="Arial" w:hAnsi="Arial"/>
          <w:b/>
          <w:bCs/>
          <w:i w:val="false"/>
          <w:iCs w:val="false"/>
          <w:sz w:val="21"/>
          <w:szCs w:val="21"/>
        </w:rPr>
        <w:t xml:space="preserve">Regla práctica: la extractiva arma la evidencia, la abstractiva redacta la conclusión.</w:t>
      </w:r>
    </w:p>
    <w:p>
      <w:pPr>
        <w:pStyle w:val="Heading1"/>
        <w:spacing w:after="140" w:before="300"/>
      </w:pPr>
      <w:r>
        <w:rPr>
          <w:rFonts w:ascii="Arial" w:cs="Arial" w:eastAsia="Arial" w:hAnsi="Arial"/>
          <w:b/>
          <w:bCs/>
          <w:color w:val="16262E"/>
          <w:sz w:val="27"/>
          <w:szCs w:val="27"/>
        </w:rPr>
        <w:t xml:space="preserve">2. Agrupar temas sin perder a la minoría</w:t>
      </w:r>
    </w:p>
    <w:p>
      <w:pPr>
        <w:spacing w:after="120" w:line="285"/>
        <w:jc w:val="both"/>
      </w:pPr>
      <w:r>
        <w:rPr>
          <w:rFonts w:ascii="Arial" w:cs="Arial" w:eastAsia="Arial" w:hAnsi="Arial"/>
          <w:b w:val="false"/>
          <w:bCs w:val="false"/>
          <w:i w:val="false"/>
          <w:iCs w:val="false"/>
          <w:sz w:val="21"/>
          <w:szCs w:val="21"/>
        </w:rPr>
        <w:t xml:space="preserve">Este es el flujo profesional y tiene tres tiempos. El orden no es una sugerencia: es lo que convierte el ejercicio en un trabajo que puedes defender.</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2600"/>
        <w:gridCol w:w="6760"/>
      </w:tblGrid>
      <w:tr>
        <w:trPr>
          <w:tblHeader/>
        </w:trPr>
        <w:tc>
          <w:tcPr>
            <w:tcW w:type="dxa" w:w="26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Tiempo</w:t>
            </w:r>
          </w:p>
        </w:tc>
        <w:tc>
          <w:tcPr>
            <w:tcW w:type="dxa" w:w="67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Qué pasa</w:t>
            </w:r>
          </w:p>
        </w:tc>
      </w:tr>
      <w:tr>
        <w:tc>
          <w:tcPr>
            <w:tcW w:type="dxa" w:w="2600"/>
            <w:tcMar>
              <w:top w:type="dxa" w:w="80"/>
              <w:left w:type="dxa" w:w="100"/>
              <w:bottom w:type="dxa" w:w="80"/>
              <w:right w:type="dxa" w:w="100"/>
            </w:tcMar>
          </w:tcPr>
          <w:p>
            <w:pPr>
              <w:spacing w:after="0" w:line="275"/>
            </w:pPr>
            <w:r>
              <w:rPr>
                <w:rFonts w:ascii="Arial" w:cs="Arial" w:eastAsia="Arial" w:hAnsi="Arial"/>
                <w:b/>
                <w:bCs/>
                <w:sz w:val="19"/>
                <w:szCs w:val="19"/>
              </w:rPr>
              <w:t xml:space="preserve">1. El modelo propone</w:t>
            </w:r>
          </w:p>
        </w:tc>
        <w:tc>
          <w:tcPr>
            <w:tcW w:type="dxa" w:w="67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Le das una muestra de los registros y le pides un libro de códigos: categorías, con su definición y con ejemplos. Aquí hace lo que hace bien, que es encontrar patrones en volumen.</w:t>
            </w:r>
          </w:p>
        </w:tc>
      </w:tr>
      <w:tr>
        <w:tc>
          <w:tcPr>
            <w:tcW w:type="dxa" w:w="2600"/>
            <w:tcMar>
              <w:top w:type="dxa" w:w="80"/>
              <w:left w:type="dxa" w:w="100"/>
              <w:bottom w:type="dxa" w:w="80"/>
              <w:right w:type="dxa" w:w="100"/>
            </w:tcMar>
          </w:tcPr>
          <w:p>
            <w:pPr>
              <w:spacing w:after="0" w:line="275"/>
            </w:pPr>
            <w:r>
              <w:rPr>
                <w:rFonts w:ascii="Arial" w:cs="Arial" w:eastAsia="Arial" w:hAnsi="Arial"/>
                <w:b/>
                <w:bCs/>
                <w:sz w:val="19"/>
                <w:szCs w:val="19"/>
              </w:rPr>
              <w:t xml:space="preserve">2. Tú ratificas</w:t>
            </w:r>
          </w:p>
        </w:tc>
        <w:tc>
          <w:tcPr>
            <w:tcW w:type="dxa" w:w="67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Revisas ese libro. Quitas las categorías que se traslapan, precisas las definiciones vagas y agregas las que el modelo no vio. Este paso lo haces tú. No se delega, y es el que se califica.</w:t>
            </w:r>
          </w:p>
        </w:tc>
      </w:tr>
      <w:tr>
        <w:tc>
          <w:tcPr>
            <w:tcW w:type="dxa" w:w="2600"/>
            <w:tcMar>
              <w:top w:type="dxa" w:w="80"/>
              <w:left w:type="dxa" w:w="100"/>
              <w:bottom w:type="dxa" w:w="80"/>
              <w:right w:type="dxa" w:w="100"/>
            </w:tcMar>
          </w:tcPr>
          <w:p>
            <w:pPr>
              <w:spacing w:after="0" w:line="275"/>
            </w:pPr>
            <w:r>
              <w:rPr>
                <w:rFonts w:ascii="Arial" w:cs="Arial" w:eastAsia="Arial" w:hAnsi="Arial"/>
                <w:b/>
                <w:bCs/>
                <w:sz w:val="19"/>
                <w:szCs w:val="19"/>
              </w:rPr>
              <w:t xml:space="preserve">3. El modelo aplica</w:t>
            </w:r>
          </w:p>
        </w:tc>
        <w:tc>
          <w:tcPr>
            <w:tcW w:type="dxa" w:w="67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Clasificas el conjunto completo con el libro ya ratificado. Después revisas una muestra de veinte registros para ver qué tan bien lo hizo.</w:t>
            </w:r>
          </w:p>
        </w:tc>
      </w:tr>
    </w:tbl>
    <w:p>
      <w:pPr>
        <w:spacing w:after="200"/>
      </w:pP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9360"/>
      </w:tblGrid>
      <w:tr>
        <w:tc>
          <w:tcPr>
            <w:tcW w:type="dxa" w:w="9360"/>
            <w:shd w:fill="F7E4D8" w:color="auto" w:val="clear"/>
            <w:tcMar>
              <w:top w:type="dxa" w:w="120"/>
              <w:left w:type="dxa" w:w="160"/>
              <w:bottom w:type="dxa" w:w="120"/>
              <w:right w:type="dxa" w:w="160"/>
            </w:tcMar>
          </w:tcPr>
          <w:p>
            <w:pPr>
              <w:spacing w:after="80"/>
            </w:pPr>
            <w:r>
              <w:rPr>
                <w:rFonts w:ascii="Arial" w:cs="Arial" w:eastAsia="Arial" w:hAnsi="Arial"/>
                <w:b/>
                <w:bCs/>
                <w:sz w:val="21"/>
                <w:szCs w:val="21"/>
              </w:rPr>
              <w:t xml:space="preserve">Por qué importa el orden</w:t>
            </w:r>
          </w:p>
          <w:p>
            <w:pPr>
              <w:spacing w:after="60" w:line="275"/>
              <w:jc w:val="both"/>
            </w:pPr>
            <w:r>
              <w:rPr>
                <w:rFonts w:ascii="Arial" w:cs="Arial" w:eastAsia="Arial" w:hAnsi="Arial"/>
                <w:sz w:val="20"/>
                <w:szCs w:val="20"/>
              </w:rPr>
              <w:t xml:space="preserve">En una evaluación, las categorías son el análisis. Si no puedes defender el libro de códigos, no puedes defender ninguna cifra que salga de él.</w:t>
            </w:r>
          </w:p>
          <w:p>
            <w:pPr>
              <w:spacing w:after="60" w:line="275"/>
              <w:jc w:val="both"/>
            </w:pPr>
            <w:r>
              <w:rPr>
                <w:rFonts w:ascii="Arial" w:cs="Arial" w:eastAsia="Arial" w:hAnsi="Arial"/>
                <w:sz w:val="20"/>
                <w:szCs w:val="20"/>
              </w:rPr>
              <w:t xml:space="preserve">Si dejas que el modelo invente las categorías y clasifique de un solo golpe, nadie va a poder explicar después de dónde salieron.</w:t>
            </w:r>
          </w:p>
          <w:p>
            <w:pPr>
              <w:spacing w:after="60" w:line="275"/>
              <w:jc w:val="both"/>
            </w:pPr>
            <w:r>
              <w:rPr>
                <w:rFonts w:ascii="Arial" w:cs="Arial" w:eastAsia="Arial" w:hAnsi="Arial"/>
                <w:sz w:val="20"/>
                <w:szCs w:val="20"/>
              </w:rPr>
              <w:t xml:space="preserve">Un libro de códigos sin diferencias entre la versión propuesta y la ratificada es la señal de que el paso dos no se hizo.</w:t>
            </w:r>
          </w:p>
        </w:tc>
      </w:tr>
    </w:tbl>
    <w:p>
      <w:pPr>
        <w:spacing w:after="160"/>
      </w:pPr>
    </w:p>
    <w:p>
      <w:pPr>
        <w:spacing w:after="120" w:line="285"/>
        <w:jc w:val="both"/>
      </w:pPr>
      <w:r>
        <w:rPr>
          <w:rFonts w:ascii="Arial" w:cs="Arial" w:eastAsia="Arial" w:hAnsi="Arial"/>
          <w:b/>
          <w:bCs/>
          <w:i w:val="false"/>
          <w:iCs w:val="false"/>
          <w:sz w:val="21"/>
          <w:szCs w:val="21"/>
        </w:rPr>
        <w:t xml:space="preserve">La columna que casi nadie llena y que más trabajo hace es la de qué NO incluye cada categoría. Es la que evita los traslapes.</w:t>
      </w:r>
    </w:p>
    <w:p>
      <w:pPr>
        <w:pStyle w:val="Heading1"/>
        <w:spacing w:after="140" w:before="300"/>
      </w:pPr>
      <w:r>
        <w:rPr>
          <w:rFonts w:ascii="Arial" w:cs="Arial" w:eastAsia="Arial" w:hAnsi="Arial"/>
          <w:b/>
          <w:bCs/>
          <w:color w:val="16262E"/>
          <w:sz w:val="27"/>
          <w:szCs w:val="27"/>
        </w:rPr>
        <w:t xml:space="preserve">3. Dos trampas que vas a encontrar</w:t>
      </w:r>
    </w:p>
    <w:p>
      <w:pPr>
        <w:spacing w:after="90" w:line="280"/>
        <w:ind w:left="520" w:hanging="260"/>
        <w:jc w:val="both"/>
      </w:pPr>
      <w:r>
        <w:rPr>
          <w:rFonts w:ascii="Arial" w:cs="Arial" w:eastAsia="Arial" w:hAnsi="Arial"/>
          <w:sz w:val="21"/>
          <w:szCs w:val="21"/>
        </w:rPr>
        <w:t xml:space="preserve">•   Equivalencias forzadas. Cuando comparas varios documentos, cada uno le pone otro nombre a las cosas y el modelo va a forzar equivalencias que no existen. Población objetivo no es lo mismo que población potencial. Una lista limitativa no es lo mismo que una enunciativa.</w:t>
      </w:r>
    </w:p>
    <w:p>
      <w:pPr>
        <w:spacing w:after="90" w:line="280"/>
        <w:ind w:left="520" w:hanging="260"/>
        <w:jc w:val="both"/>
      </w:pPr>
      <w:r>
        <w:rPr>
          <w:rFonts w:ascii="Arial" w:cs="Arial" w:eastAsia="Arial" w:hAnsi="Arial"/>
          <w:sz w:val="21"/>
          <w:szCs w:val="21"/>
        </w:rPr>
        <w:t xml:space="preserve">•   Registros que tocan dos temas. Una persona agradece el centro comunitario y en la misma frase se queja del retraso en los depósitos. Una clasificación de una sola etiqueta lo manda a un solo lado y pierde la mitad de lo que dice.</w:t>
      </w:r>
    </w:p>
    <w:p>
      <w:pPr>
        <w:pStyle w:val="Heading1"/>
        <w:spacing w:after="140" w:before="300"/>
      </w:pPr>
      <w:r>
        <w:rPr>
          <w:rFonts w:ascii="Arial" w:cs="Arial" w:eastAsia="Arial" w:hAnsi="Arial"/>
          <w:b/>
          <w:bCs/>
          <w:color w:val="16262E"/>
          <w:sz w:val="27"/>
          <w:szCs w:val="27"/>
        </w:rPr>
        <w:t xml:space="preserve">4. Cuando el texto no cabe</w:t>
      </w:r>
    </w:p>
    <w:p>
      <w:pPr>
        <w:spacing w:after="120" w:line="285"/>
        <w:jc w:val="both"/>
      </w:pPr>
      <w:r>
        <w:rPr>
          <w:rFonts w:ascii="Arial" w:cs="Arial" w:eastAsia="Arial" w:hAnsi="Arial"/>
          <w:b w:val="false"/>
          <w:bCs w:val="false"/>
          <w:i w:val="false"/>
          <w:iCs w:val="false"/>
          <w:sz w:val="21"/>
          <w:szCs w:val="21"/>
        </w:rPr>
        <w:t xml:space="preserve">Toda herramienta tiene un límite de cuánto puede leer de una sola vez. El problema no es que falle: es que no te dice que no vio el resto, y el resumen suena igual de completo. Y aunque quepa, el peso se reparte: en un documento muy largo, un dato del medio recibe menos atención que uno del principio o del final.</w:t>
      </w:r>
    </w:p>
    <w:p>
      <w:pPr>
        <w:spacing w:after="90" w:line="280"/>
        <w:ind w:left="520" w:hanging="260"/>
        <w:jc w:val="both"/>
      </w:pPr>
      <w:r>
        <w:rPr>
          <w:rFonts w:ascii="Arial" w:cs="Arial" w:eastAsia="Arial" w:hAnsi="Arial"/>
          <w:sz w:val="21"/>
          <w:szCs w:val="21"/>
        </w:rPr>
        <w:t xml:space="preserve">•   Parte el texto en bloques y consolida al final, con el mismo libro de códigos en todas las tandas.</w:t>
      </w:r>
    </w:p>
    <w:p>
      <w:pPr>
        <w:spacing w:after="90" w:line="280"/>
        <w:ind w:left="520" w:hanging="260"/>
        <w:jc w:val="both"/>
      </w:pPr>
      <w:r>
        <w:rPr>
          <w:rFonts w:ascii="Arial" w:cs="Arial" w:eastAsia="Arial" w:hAnsi="Arial"/>
          <w:sz w:val="21"/>
          <w:szCs w:val="21"/>
        </w:rPr>
        <w:t xml:space="preserve">•   Trabaja con una muestra representativa y valida contra el total. Es lo que hiciste hoy, aunque no lo hayas notado.</w:t>
      </w:r>
    </w:p>
    <w:p>
      <w:pPr>
        <w:spacing w:after="90" w:line="280"/>
        <w:ind w:left="520" w:hanging="260"/>
        <w:jc w:val="both"/>
      </w:pPr>
      <w:r>
        <w:rPr>
          <w:rFonts w:ascii="Arial" w:cs="Arial" w:eastAsia="Arial" w:hAnsi="Arial"/>
          <w:sz w:val="21"/>
          <w:szCs w:val="21"/>
        </w:rPr>
        <w:t xml:space="preserve">•   Pásate a código. Cuando son decenas de miles de registros, el chat ya no alcanza. Eso es el Módulo III.</w:t>
      </w:r>
    </w:p>
    <w:p>
      <w:pPr>
        <w:pStyle w:val="Heading1"/>
        <w:spacing w:after="140" w:before="300"/>
      </w:pPr>
      <w:r>
        <w:rPr>
          <w:rFonts w:ascii="Arial" w:cs="Arial" w:eastAsia="Arial" w:hAnsi="Arial"/>
          <w:b/>
          <w:bCs/>
          <w:color w:val="16262E"/>
          <w:sz w:val="27"/>
          <w:szCs w:val="27"/>
        </w:rPr>
        <w:t xml:space="preserve">5. Lo que entregas</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3000"/>
        <w:gridCol w:w="6360"/>
      </w:tblGrid>
      <w:tr>
        <w:trPr>
          <w:tblHeader/>
        </w:trPr>
        <w:tc>
          <w:tcPr>
            <w:tcW w:type="dxa" w:w="30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Qué</w:t>
            </w:r>
          </w:p>
        </w:tc>
        <w:tc>
          <w:tcPr>
            <w:tcW w:type="dxa" w:w="63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Cómo</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Tu tabla comparativa</w:t>
            </w:r>
          </w:p>
        </w:tc>
        <w:tc>
          <w:tcPr>
            <w:tcW w:type="dxa" w:w="6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De tres programas, con las equivalencias forzadas marcadas y corregidas. S04_ApellidoNombre_Tabla.xlsx.</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Tu libro de códigos</w:t>
            </w:r>
          </w:p>
        </w:tc>
        <w:tc>
          <w:tcPr>
            <w:tcW w:type="dxa" w:w="6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En sus dos versiones: la que propuso el modelo y la que tú ratificaste.</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Nota en tu bitácora</w:t>
            </w:r>
          </w:p>
        </w:tc>
        <w:tc>
          <w:tcPr>
            <w:tcW w:type="dxa" w:w="6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Sobre en qué caso usarías la síntesis extractiva y en cuál la abstractiva.</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Tema del proyecto</w:t>
            </w:r>
          </w:p>
        </w:tc>
        <w:tc>
          <w:tcPr>
            <w:tcW w:type="dxa" w:w="6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El tema tentativo de tu equipo y la ruta metodológica que consideran. Lo manda una persona por equipo.</w:t>
            </w:r>
          </w:p>
        </w:tc>
      </w:tr>
    </w:tbl>
    <w:p>
      <w:pPr>
        <w:spacing w:after="160"/>
      </w:pPr>
    </w:p>
    <w:p>
      <w:pPr>
        <w:spacing w:after="120" w:line="285"/>
        <w:jc w:val="both"/>
      </w:pPr>
      <w:r>
        <w:rPr>
          <w:rFonts w:ascii="Arial" w:cs="Arial" w:eastAsia="Arial" w:hAnsi="Arial"/>
          <w:b/>
          <w:bCs/>
          <w:i w:val="false"/>
          <w:iCs w:val="false"/>
          <w:sz w:val="21"/>
          <w:szCs w:val="21"/>
        </w:rPr>
        <w:t xml:space="preserve">El lunes sí activas la prueba de Elicit, no antes. Son siete días y se usa ese día.</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t xml:space="preserve">Sesión 4. Curso de Inteligencia Artificial Aplicada. INEGI 2026. Página </w:t>
    </w:r>
    <w:r>
      <w:rPr>
        <w:rFonts w:ascii="Arial" w:cs="Arial" w:eastAsia="Arial" w:hAnsi="Arial"/>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2026-09-13T23:31:27.827Z</dcterms:created>
  <dcterms:modified xsi:type="dcterms:W3CDTF">2026-09-13T23:31:27.827Z</dcterms:modified>
</cp:coreProperties>
</file>

<file path=docProps/custom.xml><?xml version="1.0" encoding="utf-8"?>
<Properties xmlns="http://schemas.openxmlformats.org/officeDocument/2006/custom-properties" xmlns:vt="http://schemas.openxmlformats.org/officeDocument/2006/docPropsVTypes"/>
</file>