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D7D"/>
          <w:spacing w:val="60"/>
          <w:sz w:val="18"/>
          <w:szCs w:val="18"/>
        </w:rPr>
        <w:t xml:space="preserve">SESIÓN 5</w:t>
      </w:r>
    </w:p>
    <w:p>
      <w:pPr>
        <w:spacing w:after="60"/>
      </w:pPr>
      <w:r>
        <w:rPr>
          <w:rFonts w:ascii="Arial" w:cs="Arial" w:eastAsia="Arial" w:hAnsi="Arial"/>
          <w:b/>
          <w:bCs/>
          <w:color w:val="16262E"/>
          <w:sz w:val="36"/>
          <w:szCs w:val="36"/>
        </w:rPr>
        <w:t xml:space="preserve">Plataformas de análisis cualitativo</w:t>
      </w:r>
    </w:p>
    <w:p>
      <w:pPr>
        <w:spacing w:after="300"/>
      </w:pPr>
      <w:r>
        <w:rPr>
          <w:rFonts w:ascii="Arial" w:cs="Arial" w:eastAsia="Arial" w:hAnsi="Arial"/>
          <w:color w:val="5A6B73"/>
          <w:sz w:val="20"/>
          <w:szCs w:val="20"/>
        </w:rPr>
        <w:t xml:space="preserve">Lunes 21 de septiembre de 2026. Hoja de trabajo para quedarte.</w:t>
      </w:r>
    </w:p>
    <w:p>
      <w:pPr>
        <w:spacing w:after="120" w:line="285"/>
        <w:jc w:val="both"/>
      </w:pPr>
      <w:r>
        <w:rPr>
          <w:rFonts w:ascii="Arial" w:cs="Arial" w:eastAsia="Arial" w:hAnsi="Arial"/>
          <w:b w:val="false"/>
          <w:bCs w:val="false"/>
          <w:i w:val="false"/>
          <w:iCs w:val="false"/>
          <w:sz w:val="21"/>
          <w:szCs w:val="21"/>
        </w:rPr>
        <w:t xml:space="preserve">Hoy no empiezas de cero: trabajas sobre el corpus y el libro de códigos que ratificaste el viernes. Esta hoja trae el mapa del ecosistema, el reparto por equipos y qué entregas.</w:t>
      </w:r>
    </w:p>
    <w:p>
      <w:pPr>
        <w:spacing w:after="120" w:line="285"/>
        <w:jc w:val="both"/>
      </w:pPr>
      <w:r>
        <w:rPr>
          <w:rFonts w:ascii="Arial" w:cs="Arial" w:eastAsia="Arial" w:hAnsi="Arial"/>
          <w:b/>
          <w:bCs/>
          <w:i w:val="false"/>
          <w:iCs w:val="false"/>
          <w:sz w:val="21"/>
          <w:szCs w:val="21"/>
        </w:rPr>
        <w:t xml:space="preserve">Repositorio del curso: github.com/xuxoramos/curso-inegi-gen-ai</w:t>
      </w:r>
    </w:p>
    <w:p>
      <w:pPr>
        <w:pStyle w:val="Heading1"/>
        <w:spacing w:after="140" w:before="300"/>
      </w:pPr>
      <w:r>
        <w:rPr>
          <w:rFonts w:ascii="Arial" w:cs="Arial" w:eastAsia="Arial" w:hAnsi="Arial"/>
          <w:b/>
          <w:bCs/>
          <w:color w:val="16262E"/>
          <w:sz w:val="27"/>
          <w:szCs w:val="27"/>
        </w:rPr>
        <w:t xml:space="preserve">1. Las tres preguntas de hoy</w:t>
      </w:r>
    </w:p>
    <w:p>
      <w:pPr>
        <w:spacing w:after="120" w:line="285"/>
        <w:jc w:val="both"/>
      </w:pPr>
      <w:r>
        <w:rPr>
          <w:rFonts w:ascii="Arial" w:cs="Arial" w:eastAsia="Arial" w:hAnsi="Arial"/>
          <w:b w:val="false"/>
          <w:bCs w:val="false"/>
          <w:i w:val="false"/>
          <w:iCs w:val="false"/>
          <w:sz w:val="21"/>
          <w:szCs w:val="21"/>
        </w:rPr>
        <w:t xml:space="preserve">Vienen del contrato del curso. Al cerrar la sesión, las tres quedan respondidas con tu propio trabajo.</w:t>
      </w:r>
    </w:p>
    <w:p>
      <w:pPr>
        <w:spacing w:after="90" w:line="280"/>
        <w:ind w:left="520" w:hanging="260"/>
        <w:jc w:val="both"/>
      </w:pPr>
      <w:r>
        <w:rPr>
          <w:rFonts w:ascii="Arial" w:cs="Arial" w:eastAsia="Arial" w:hAnsi="Arial"/>
          <w:sz w:val="21"/>
          <w:szCs w:val="21"/>
        </w:rPr>
        <w:t xml:space="preserve">•   ¿Qué tan bien codifica tu herramienta asignada, comparada con Copilot?</w:t>
      </w:r>
    </w:p>
    <w:p>
      <w:pPr>
        <w:spacing w:after="90" w:line="280"/>
        <w:ind w:left="520" w:hanging="260"/>
        <w:jc w:val="both"/>
      </w:pPr>
      <w:r>
        <w:rPr>
          <w:rFonts w:ascii="Arial" w:cs="Arial" w:eastAsia="Arial" w:hAnsi="Arial"/>
          <w:sz w:val="21"/>
          <w:szCs w:val="21"/>
        </w:rPr>
        <w:t xml:space="preserve">•   ¿Qué tan bien mide postura y causa raíz sobre las transcripciones de foro?</w:t>
      </w:r>
    </w:p>
    <w:p>
      <w:pPr>
        <w:spacing w:after="90" w:line="280"/>
        <w:ind w:left="520" w:hanging="260"/>
        <w:jc w:val="both"/>
      </w:pPr>
      <w:r>
        <w:rPr>
          <w:rFonts w:ascii="Arial" w:cs="Arial" w:eastAsia="Arial" w:hAnsi="Arial"/>
          <w:sz w:val="21"/>
          <w:szCs w:val="21"/>
        </w:rPr>
        <w:t xml:space="preserve">•   ¿En qué es mejor o peor que Copilot? Esa comparación es el entregable.</w:t>
      </w:r>
    </w:p>
    <w:p>
      <w:pPr>
        <w:pStyle w:val="Heading1"/>
        <w:spacing w:after="140" w:before="300"/>
      </w:pPr>
      <w:r>
        <w:rPr>
          <w:rFonts w:ascii="Arial" w:cs="Arial" w:eastAsia="Arial" w:hAnsi="Arial"/>
          <w:b/>
          <w:bCs/>
          <w:color w:val="16262E"/>
          <w:sz w:val="27"/>
          <w:szCs w:val="27"/>
        </w:rPr>
        <w:t xml:space="preserve">2. El mapa del ecosistema</w:t>
      </w:r>
    </w:p>
    <w:p>
      <w:pPr>
        <w:spacing w:after="120" w:line="285"/>
        <w:jc w:val="both"/>
      </w:pPr>
      <w:r>
        <w:rPr>
          <w:rFonts w:ascii="Arial" w:cs="Arial" w:eastAsia="Arial" w:hAnsi="Arial"/>
          <w:b w:val="false"/>
          <w:bCs w:val="false"/>
          <w:i w:val="false"/>
          <w:iCs w:val="false"/>
          <w:sz w:val="21"/>
          <w:szCs w:val="21"/>
        </w:rPr>
        <w:t xml:space="preserve">Las categorías son las de la lista de verificación de acceso que elaboró el propio INEGI. De las 31 herramientas de esa lista, el curso usa 15 en ejercicio y cubre 4 más por demostración.</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700"/>
        <w:gridCol w:w="3300"/>
        <w:gridCol w:w="3360"/>
      </w:tblGrid>
      <w:tr>
        <w:trPr>
          <w:tblHeader/>
        </w:trPr>
        <w:tc>
          <w:tcPr>
            <w:tcW w:type="dxa" w:w="27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Categoría del INEGI</w:t>
            </w:r>
          </w:p>
        </w:tc>
        <w:tc>
          <w:tcPr>
            <w:tcW w:type="dxa" w:w="33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Abre desde la red</w:t>
            </w:r>
          </w:p>
        </w:tc>
        <w:tc>
          <w:tcPr>
            <w:tcW w:type="dxa" w:w="3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Dónde se usa en el curso</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Asistentes generales</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Copilot, ChatGPT, Claude, Gemini</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Todo el curso. Hoy, para codificar.</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Búsqueda e investigación</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Perplexity, You.com</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Hoy, para sustentar hallazgos con fuentes.</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Investigación académica</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Elicit, Consensus</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Hoy, para buscar literatura de evaluación.</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Productividad e investigación</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NotebookLM, bloqueada</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Hoy, en demostración.</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Código</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Colab, Replit, GitHub Copilot, v0, Bolt</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Módulos III y IV.</w:t>
            </w:r>
          </w:p>
        </w:tc>
      </w:tr>
      <w:tr>
        <w:tc>
          <w:tcPr>
            <w:tcW w:type="dxa" w:w="2700"/>
            <w:tcMar>
              <w:top w:type="dxa" w:w="80"/>
              <w:left w:type="dxa" w:w="100"/>
              <w:bottom w:type="dxa" w:w="80"/>
              <w:right w:type="dxa" w:w="100"/>
            </w:tcMar>
          </w:tcPr>
          <w:p>
            <w:pPr>
              <w:spacing w:after="0" w:line="275"/>
            </w:pPr>
            <w:r>
              <w:rPr>
                <w:rFonts w:ascii="Arial" w:cs="Arial" w:eastAsia="Arial" w:hAnsi="Arial"/>
                <w:b/>
                <w:bCs/>
                <w:sz w:val="19"/>
                <w:szCs w:val="19"/>
              </w:rPr>
              <w:t xml:space="preserve">Imagen, presentaciones y video</w:t>
            </w:r>
          </w:p>
        </w:tc>
        <w:tc>
          <w:tcPr>
            <w:tcW w:type="dxa" w:w="33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Firefly y Luma abren. Gamma no.</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Módulo IV.</w:t>
            </w:r>
          </w:p>
        </w:tc>
      </w:tr>
    </w:tbl>
    <w:p>
      <w:pPr>
        <w:spacing w:after="160"/>
      </w:pPr>
    </w:p>
    <w:p>
      <w:pPr>
        <w:spacing w:after="120" w:line="285"/>
        <w:jc w:val="both"/>
      </w:pPr>
      <w:r>
        <w:rPr>
          <w:rFonts w:ascii="Arial" w:cs="Arial" w:eastAsia="Arial" w:hAnsi="Arial"/>
          <w:b/>
          <w:bCs/>
          <w:i w:val="false"/>
          <w:iCs w:val="false"/>
          <w:sz w:val="21"/>
          <w:szCs w:val="21"/>
        </w:rPr>
        <w:t xml:space="preserve">Lee el mapa por tarea, no por marca. Las marcas van a cambiar antes de que termine el año. Las tareas no.</w:t>
      </w:r>
    </w:p>
    <w:p>
      <w:pPr>
        <w:pStyle w:val="Heading1"/>
        <w:spacing w:after="140" w:before="300"/>
      </w:pPr>
      <w:r>
        <w:rPr>
          <w:rFonts w:ascii="Arial" w:cs="Arial" w:eastAsia="Arial" w:hAnsi="Arial"/>
          <w:b/>
          <w:bCs/>
          <w:color w:val="16262E"/>
          <w:sz w:val="27"/>
          <w:szCs w:val="27"/>
        </w:rPr>
        <w:t xml:space="preserve">3. El reparto y la tarea</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1400"/>
        <w:gridCol w:w="2800"/>
        <w:gridCol w:w="5160"/>
      </w:tblGrid>
      <w:tr>
        <w:trPr>
          <w:tblHeader/>
        </w:trPr>
        <w:tc>
          <w:tcPr>
            <w:tcW w:type="dxa" w:w="14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Equipo</w:t>
            </w:r>
          </w:p>
        </w:tc>
        <w:tc>
          <w:tcPr>
            <w:tcW w:type="dxa" w:w="28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Herramienta</w:t>
            </w:r>
          </w:p>
        </w:tc>
        <w:tc>
          <w:tcPr>
            <w:tcW w:type="dxa" w:w="51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w:t>
            </w:r>
          </w:p>
        </w:tc>
      </w:tr>
      <w:tr>
        <w:tc>
          <w:tcPr>
            <w:tcW w:type="dxa" w:w="1400"/>
            <w:tcMar>
              <w:top w:type="dxa" w:w="80"/>
              <w:left w:type="dxa" w:w="100"/>
              <w:bottom w:type="dxa" w:w="80"/>
              <w:right w:type="dxa" w:w="100"/>
            </w:tcMar>
          </w:tcPr>
          <w:p>
            <w:pPr>
              <w:spacing w:after="0" w:line="275"/>
            </w:pPr>
            <w:r>
              <w:rPr>
                <w:rFonts w:ascii="Arial" w:cs="Arial" w:eastAsia="Arial" w:hAnsi="Arial"/>
                <w:b/>
                <w:bCs/>
                <w:sz w:val="19"/>
                <w:szCs w:val="19"/>
              </w:rPr>
              <w:t xml:space="preserve">1, 2 y 3</w:t>
            </w:r>
          </w:p>
        </w:tc>
        <w:tc>
          <w:tcPr>
            <w:tcW w:type="dxa" w:w="28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ChatGPT, Claude, Gemini</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Codificar: aplicar tu libro de códigos ratificado sobre el corpus de 118 registros, clasificar postura y causa raíz sobre las transcripciones de foro, y comparar registro por registro contra lo que te dio Copilot el viernes.</w:t>
            </w:r>
          </w:p>
        </w:tc>
      </w:tr>
      <w:tr>
        <w:tc>
          <w:tcPr>
            <w:tcW w:type="dxa" w:w="1400"/>
            <w:tcMar>
              <w:top w:type="dxa" w:w="80"/>
              <w:left w:type="dxa" w:w="100"/>
              <w:bottom w:type="dxa" w:w="80"/>
              <w:right w:type="dxa" w:w="100"/>
            </w:tcMar>
          </w:tcPr>
          <w:p>
            <w:pPr>
              <w:spacing w:after="0" w:line="275"/>
            </w:pPr>
            <w:r>
              <w:rPr>
                <w:rFonts w:ascii="Arial" w:cs="Arial" w:eastAsia="Arial" w:hAnsi="Arial"/>
                <w:b/>
                <w:bCs/>
                <w:sz w:val="19"/>
                <w:szCs w:val="19"/>
              </w:rPr>
              <w:t xml:space="preserve">4, 5 y 6</w:t>
            </w:r>
          </w:p>
        </w:tc>
        <w:tc>
          <w:tcPr>
            <w:tcW w:type="dxa" w:w="28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Perplexity y You.com, Elicit, Consensus</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Sustentar: tomar un hallazgo de la codificación del viernes, buscar si la evidencia lo sostiene o lo contradice, verificar que las referencias existan de verdad, y comparar contra lo que da Copilot con la misma pregunta.</w:t>
            </w:r>
          </w:p>
        </w:tc>
      </w:tr>
    </w:tbl>
    <w:p>
      <w:pPr>
        <w:spacing w:after="160"/>
      </w:pPr>
    </w:p>
    <w:p>
      <w:pPr>
        <w:spacing w:after="120" w:line="285"/>
        <w:jc w:val="both"/>
      </w:pPr>
      <w:r>
        <w:rPr>
          <w:rFonts w:ascii="Arial" w:cs="Arial" w:eastAsia="Arial" w:hAnsi="Arial"/>
          <w:b w:val="false"/>
          <w:bCs w:val="false"/>
          <w:i w:val="false"/>
          <w:iCs w:val="false"/>
          <w:sz w:val="21"/>
          <w:szCs w:val="21"/>
        </w:rPr>
        <w:t xml:space="preserve">No son tareas distintas: son los dos pasos de cualquier análisis cualitativo serio. Codificar sin sustentar produce categorías bonitas que nadie puede defender. Sustentar sin codificar produce citas sueltas.</w:t>
      </w:r>
    </w:p>
    <w:p>
      <w:pPr>
        <w:spacing w:after="120" w:line="285"/>
        <w:jc w:val="both"/>
      </w:pPr>
      <w:r>
        <w:rPr>
          <w:rFonts w:ascii="Arial" w:cs="Arial" w:eastAsia="Arial" w:hAnsi="Arial"/>
          <w:b/>
          <w:bCs/>
          <w:i w:val="false"/>
          <w:iCs w:val="false"/>
          <w:sz w:val="21"/>
          <w:szCs w:val="21"/>
        </w:rPr>
        <w:t xml:space="preserve">Y una advertencia de calendario: si tu equipo usa Elicit, actívala hoy y no antes. Son siete días de prueba y se vencen el 28.</w:t>
      </w:r>
    </w:p>
    <w:p>
      <w:pPr>
        <w:pStyle w:val="Heading1"/>
        <w:spacing w:after="140" w:before="300"/>
      </w:pPr>
      <w:r>
        <w:rPr>
          <w:rFonts w:ascii="Arial" w:cs="Arial" w:eastAsia="Arial" w:hAnsi="Arial"/>
          <w:b/>
          <w:bCs/>
          <w:color w:val="16262E"/>
          <w:sz w:val="27"/>
          <w:szCs w:val="27"/>
        </w:rPr>
        <w:t xml:space="preserve">4. Tu presentación responde cuatro cosas</w:t>
      </w:r>
    </w:p>
    <w:p>
      <w:pPr>
        <w:spacing w:after="120" w:line="285"/>
        <w:jc w:val="both"/>
      </w:pPr>
      <w:r>
        <w:rPr>
          <w:rFonts w:ascii="Arial" w:cs="Arial" w:eastAsia="Arial" w:hAnsi="Arial"/>
          <w:b w:val="false"/>
          <w:bCs w:val="false"/>
          <w:i w:val="false"/>
          <w:iCs w:val="false"/>
          <w:sz w:val="21"/>
          <w:szCs w:val="21"/>
        </w:rPr>
        <w:t xml:space="preserve">Cinco minutos por equipo. No es una demostración de la herramienta: es un dictamen sobre ella.</w:t>
      </w:r>
    </w:p>
    <w:p>
      <w:pPr>
        <w:spacing w:after="90" w:line="280"/>
        <w:ind w:left="520" w:hanging="260"/>
        <w:jc w:val="both"/>
      </w:pPr>
      <w:r>
        <w:rPr>
          <w:rFonts w:ascii="Arial" w:cs="Arial" w:eastAsia="Arial" w:hAnsi="Arial"/>
          <w:sz w:val="21"/>
          <w:szCs w:val="21"/>
        </w:rPr>
        <w:t xml:space="preserve">•   ¿Qué hizo mejor que Copilot? Si la respuesta es nada relevante para nuestro trabajo, esa también es una conclusión válida.</w:t>
      </w:r>
    </w:p>
    <w:p>
      <w:pPr>
        <w:spacing w:after="90" w:line="280"/>
        <w:ind w:left="520" w:hanging="260"/>
        <w:jc w:val="both"/>
      </w:pPr>
      <w:r>
        <w:rPr>
          <w:rFonts w:ascii="Arial" w:cs="Arial" w:eastAsia="Arial" w:hAnsi="Arial"/>
          <w:sz w:val="21"/>
          <w:szCs w:val="21"/>
        </w:rPr>
        <w:t xml:space="preserve">•   ¿Qué hizo peor? Categorías que fundió, minorías que perdió, referencias que inventó. Sé específico.</w:t>
      </w:r>
    </w:p>
    <w:p>
      <w:pPr>
        <w:spacing w:after="90" w:line="280"/>
        <w:ind w:left="520" w:hanging="260"/>
        <w:jc w:val="both"/>
      </w:pPr>
      <w:r>
        <w:rPr>
          <w:rFonts w:ascii="Arial" w:cs="Arial" w:eastAsia="Arial" w:hAnsi="Arial"/>
          <w:sz w:val="21"/>
          <w:szCs w:val="21"/>
        </w:rPr>
        <w:t xml:space="preserve">•   ¿Qué te pidió a cambio? Cuenta, costo si se quisiera usar en serio, tiempo de aprendizaje, y qué información habría que darle.</w:t>
      </w:r>
    </w:p>
    <w:p>
      <w:pPr>
        <w:spacing w:after="90" w:line="280"/>
        <w:ind w:left="520" w:hanging="260"/>
        <w:jc w:val="both"/>
      </w:pPr>
      <w:r>
        <w:rPr>
          <w:rFonts w:ascii="Arial" w:cs="Arial" w:eastAsia="Arial" w:hAnsi="Arial"/>
          <w:sz w:val="21"/>
          <w:szCs w:val="21"/>
        </w:rPr>
        <w:t xml:space="preserve">•   ¿Para qué tarea la recomendarías? Una tarea concreta de esta área. Si no encuentras ninguna, eso es lo que hay que reportar.</w:t>
      </w:r>
    </w:p>
    <w:p>
      <w:pPr>
        <w:pStyle w:val="Heading1"/>
        <w:spacing w:after="140" w:before="300"/>
      </w:pPr>
      <w:r>
        <w:rPr>
          <w:rFonts w:ascii="Arial" w:cs="Arial" w:eastAsia="Arial" w:hAnsi="Arial"/>
          <w:b/>
          <w:bCs/>
          <w:color w:val="16262E"/>
          <w:sz w:val="27"/>
          <w:szCs w:val="27"/>
        </w:rPr>
        <w:t xml:space="preserve">5. Lo que no puedes usar hoy, y por qué importa</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600"/>
        <w:gridCol w:w="6760"/>
      </w:tblGrid>
      <w:tr>
        <w:trPr>
          <w:tblHeader/>
        </w:trPr>
        <w:tc>
          <w:tcPr>
            <w:tcW w:type="dxa" w:w="2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Herramienta</w:t>
            </w:r>
          </w:p>
        </w:tc>
        <w:tc>
          <w:tcPr>
            <w:tcW w:type="dxa" w:w="67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 distinto</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Atlas.ti y MAXQDA</w:t>
            </w:r>
          </w:p>
        </w:tc>
        <w:tc>
          <w:tcPr>
            <w:tcW w:type="dxa" w:w="6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Son el estándar de la investigación cualitativa formal. Lo que hacen distinto no es codificar mejor: es dejar constancia de cómo codificaron, con un reporte de codificación auditable. Si algún día tienes que defender un análisis cualitativo ante un comité, esa es la diferencia. Requieren licencia de paga, así que se cubren por demostración.</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NotebookLM</w:t>
            </w:r>
          </w:p>
        </w:tc>
        <w:tc>
          <w:tcPr>
            <w:tcW w:type="dxa" w:w="6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Responde citando el párrafo exacto de cada documento fuente. Es justo lo que vas a construir a mano mañana en la matriz de evidencia. Está bloqueada en la red del Instituto y vale la pena pedirla: es del mismo proveedor que Gemini, que sí liberaron.</w:t>
            </w:r>
          </w:p>
        </w:tc>
      </w:tr>
    </w:tbl>
    <w:p>
      <w:pPr>
        <w:spacing w:after="160"/>
      </w:pPr>
    </w:p>
    <w:p>
      <w:pPr>
        <w:spacing w:after="120" w:line="285"/>
        <w:jc w:val="both"/>
      </w:pPr>
      <w:r>
        <w:rPr>
          <w:rFonts w:ascii="Arial" w:cs="Arial" w:eastAsia="Arial" w:hAnsi="Arial"/>
          <w:b/>
          <w:bCs/>
          <w:i w:val="false"/>
          <w:iCs w:val="false"/>
          <w:sz w:val="21"/>
          <w:szCs w:val="21"/>
        </w:rPr>
        <w:t xml:space="preserve">Las tres resuelven el mismo problema: dejar rastro de cómo se llegó al resultado. Ese problema no desaparece porque no tengas la herramienta. Solo cambia quién lo resuelve, y mañana lo vas a resolver tú, a mano.</w:t>
      </w:r>
    </w:p>
    <w:p>
      <w:pPr>
        <w:pStyle w:val="Heading1"/>
        <w:spacing w:after="140" w:before="300"/>
      </w:pPr>
      <w:r>
        <w:rPr>
          <w:rFonts w:ascii="Arial" w:cs="Arial" w:eastAsia="Arial" w:hAnsi="Arial"/>
          <w:b/>
          <w:bCs/>
          <w:color w:val="16262E"/>
          <w:sz w:val="27"/>
          <w:szCs w:val="27"/>
        </w:rPr>
        <w:t xml:space="preserve">6. El RAG que sí puedes operar hoy</w:t>
      </w:r>
    </w:p>
    <w:p>
      <w:pPr>
        <w:spacing w:after="120" w:line="285"/>
        <w:jc w:val="both"/>
      </w:pPr>
      <w:r>
        <w:rPr>
          <w:rFonts w:ascii="Arial" w:cs="Arial" w:eastAsia="Arial" w:hAnsi="Arial"/>
          <w:b w:val="false"/>
          <w:bCs w:val="false"/>
          <w:i w:val="false"/>
          <w:iCs w:val="false"/>
          <w:sz w:val="21"/>
          <w:szCs w:val="21"/>
        </w:rPr>
        <w:t xml:space="preserve">RAG quiere decir que la herramienta busca en tus documentos antes de responder, en lugar de contestar de memoria. Eso es lo que hace NotebookLM, y puedes armar una versión con lo que ya tienes.</w:t>
      </w:r>
    </w:p>
    <w:p>
      <w:pPr>
        <w:spacing w:after="90" w:line="280"/>
        <w:ind w:left="520" w:hanging="260"/>
        <w:jc w:val="both"/>
      </w:pPr>
      <w:r>
        <w:rPr>
          <w:rFonts w:ascii="Arial" w:cs="Arial" w:eastAsia="Arial" w:hAnsi="Arial"/>
          <w:sz w:val="21"/>
          <w:szCs w:val="21"/>
        </w:rPr>
        <w:t xml:space="preserve">•   Organiza una carpeta de SharePoint como base documental de tu tema. Una carpeta por asunto, no una por año.</w:t>
      </w:r>
    </w:p>
    <w:p>
      <w:pPr>
        <w:spacing w:after="90" w:line="280"/>
        <w:ind w:left="520" w:hanging="260"/>
        <w:jc w:val="both"/>
      </w:pPr>
      <w:r>
        <w:rPr>
          <w:rFonts w:ascii="Arial" w:cs="Arial" w:eastAsia="Arial" w:hAnsi="Arial"/>
          <w:sz w:val="21"/>
          <w:szCs w:val="21"/>
        </w:rPr>
        <w:t xml:space="preserve">•   Nombra los archivos de manera que el nombre diga qué contiene. Copilot busca por nombre antes que por contenido.</w:t>
      </w:r>
    </w:p>
    <w:p>
      <w:pPr>
        <w:spacing w:after="90" w:line="280"/>
        <w:ind w:left="520" w:hanging="260"/>
        <w:jc w:val="both"/>
      </w:pPr>
      <w:r>
        <w:rPr>
          <w:rFonts w:ascii="Arial" w:cs="Arial" w:eastAsia="Arial" w:hAnsi="Arial"/>
          <w:sz w:val="21"/>
          <w:szCs w:val="21"/>
        </w:rPr>
        <w:t xml:space="preserve">•   Formula la pregunta señalando la carpeta expresamente.</w:t>
      </w:r>
    </w:p>
    <w:p>
      <w:pPr>
        <w:spacing w:after="90" w:line="280"/>
        <w:ind w:left="520" w:hanging="260"/>
        <w:jc w:val="both"/>
      </w:pPr>
      <w:r>
        <w:rPr>
          <w:rFonts w:ascii="Arial" w:cs="Arial" w:eastAsia="Arial" w:hAnsi="Arial"/>
          <w:sz w:val="21"/>
          <w:szCs w:val="21"/>
        </w:rPr>
        <w:t xml:space="preserve">•   Compara contra la misma pregunta sin anclar. La diferencia suele ser grande, y es lo que justifica el trabajo de organizar carpetas.</w:t>
      </w:r>
    </w:p>
    <w:p>
      <w:pPr>
        <w:spacing w:after="160"/>
      </w:pPr>
    </w:p>
    <w:p>
      <w:pPr>
        <w:spacing w:after="120" w:line="285"/>
        <w:jc w:val="both"/>
      </w:pPr>
      <w:r>
        <w:rPr>
          <w:rFonts w:ascii="Arial" w:cs="Arial" w:eastAsia="Arial" w:hAnsi="Arial"/>
          <w:b/>
          <w:bCs/>
          <w:i w:val="false"/>
          <w:iCs w:val="false"/>
          <w:sz w:val="21"/>
          <w:szCs w:val="21"/>
        </w:rPr>
        <w:t xml:space="preserve">Esto es lo único de hoy que funciona con información amarilla. Todo lo demás que probaste es solo para información pública.</w:t>
      </w:r>
    </w:p>
    <w:p>
      <w:pPr>
        <w:pStyle w:val="Heading1"/>
        <w:spacing w:after="140" w:before="300"/>
      </w:pPr>
      <w:r>
        <w:rPr>
          <w:rFonts w:ascii="Arial" w:cs="Arial" w:eastAsia="Arial" w:hAnsi="Arial"/>
          <w:b/>
          <w:bCs/>
          <w:color w:val="16262E"/>
          <w:sz w:val="27"/>
          <w:szCs w:val="27"/>
        </w:rPr>
        <w:t xml:space="preserve">7. Lo que entregas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3000"/>
        <w:gridCol w:w="6360"/>
      </w:tblGrid>
      <w:tr>
        <w:trPr>
          <w:tblHeader/>
        </w:trPr>
        <w:tc>
          <w:tcPr>
            <w:tcW w:type="dxa" w:w="3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w:t>
            </w:r>
          </w:p>
        </w:tc>
        <w:tc>
          <w:tcPr>
            <w:tcW w:type="dxa" w:w="6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El cuadro comparativo</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Tu renglón lleno con las columnas de juicio propio. Se consolida con el de los demás equipos al cerrar la sesión.</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Una cuartilla por equipo</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Cuál herramienta valdría la pena contratar o solicitar, con costo estimado y para qué tarea. S05_Equipo##_Justificacion.docx.</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Para mañana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Revisa tu bitácora completa y lee el expediente del Laboratorio 2 si todavía no lo haces.</w:t>
            </w:r>
          </w:p>
        </w:tc>
      </w:tr>
    </w:tbl>
    <w:p>
      <w:pPr>
        <w:spacing w:after="160"/>
      </w:pPr>
    </w:p>
    <w:p>
      <w:pPr>
        <w:spacing w:after="120" w:line="285"/>
        <w:jc w:val="both"/>
      </w:pPr>
      <w:r>
        <w:rPr>
          <w:rFonts w:ascii="Arial" w:cs="Arial" w:eastAsia="Arial" w:hAnsi="Arial"/>
          <w:b/>
          <w:bCs/>
          <w:i w:val="false"/>
          <w:iCs w:val="false"/>
          <w:sz w:val="21"/>
          <w:szCs w:val="21"/>
        </w:rPr>
        <w:t xml:space="preserve">Esa cuartilla no es un ejercicio de curso. Es el borrador de una solicitud real que tu área puede presentar.</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Sesión 5. Curso de Inteligencia Artificial Aplicada. INEGI 2026.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2026-09-14T00:37:52.867Z</dcterms:created>
  <dcterms:modified xsi:type="dcterms:W3CDTF">2026-09-14T00:37:52.867Z</dcterms:modified>
</cp:coreProperties>
</file>

<file path=docProps/custom.xml><?xml version="1.0" encoding="utf-8"?>
<Properties xmlns="http://schemas.openxmlformats.org/officeDocument/2006/custom-properties" xmlns:vt="http://schemas.openxmlformats.org/officeDocument/2006/docPropsVTypes"/>
</file>