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Hoy no empiezas de cero: trabajas sobre el corpus y el libro de códigos que ratificaste el viernes. Esta hoja trae el mapa del ecosistema, el reparto por equipos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hoy</w:t>
      </w:r>
    </w:p>
    <w:p>
      <w:pPr>
        <w:spacing w:after="120" w:line="285"/>
        <w:jc w:val="both"/>
      </w:pPr>
      <w:r>
        <w:rPr>
          <w:rFonts w:ascii="Arial" w:cs="Arial" w:eastAsia="Arial" w:hAnsi="Arial"/>
          <w:b w:val="false"/>
          <w:bCs w:val="false"/>
          <w:i w:val="false"/>
          <w:iCs w:val="false"/>
          <w:sz w:val="21"/>
          <w:szCs w:val="21"/>
        </w:rPr>
        <w:t xml:space="preserve">Vienen del contrato del curso. Al cerrar la sesión, las tres quedan respondidas con tu propio trabajo.</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Hoy,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(hoy Gemini Notebook),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(sesion-04/Transcripciones_foro_PARTICIPANTE.docx),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dos advertencias: si tu equipo usa Elicit, actívala hoy y no antes, porque son siete días de prueba y se vencen el 28. Y si tu equipo usa You.com, su cuenta gratuita es desde abril una prueba de 25 consultas: trabaja en Perplexity y usa You.com solo para contrastar.</w:t>
      </w:r>
    </w:p>
    <w:p>
      <w:pPr>
        <w:pStyle w:val="Heading1"/>
        <w:spacing w:after="140" w:before="300"/>
      </w:pPr>
      <w:r>
        <w:rPr>
          <w:rFonts w:ascii="Arial" w:cs="Arial" w:eastAsia="Arial" w:hAnsi="Arial"/>
          <w:b/>
          <w:bCs/>
          <w:color w:val="16262E"/>
          <w:sz w:val="27"/>
          <w:szCs w:val="27"/>
        </w:rPr>
        <w:t xml:space="preserve">4. Tu presentación responde cuatro cosas</w:t>
      </w:r>
    </w:p>
    <w:p>
      <w:pPr>
        <w:spacing w:after="120" w:line="285"/>
        <w:jc w:val="both"/>
      </w:pPr>
      <w:r>
        <w:rPr>
          <w:rFonts w:ascii="Arial" w:cs="Arial" w:eastAsia="Arial" w:hAnsi="Arial"/>
          <w:b w:val="false"/>
          <w:bCs w:val="false"/>
          <w:i w:val="false"/>
          <w:iCs w:val="false"/>
          <w:sz w:val="21"/>
          <w:szCs w:val="21"/>
        </w:rPr>
        <w:t xml:space="preserve">Cinco minutos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Desde julio de 2026 se llama Gemini Notebook. 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un acervo de documentos antes de responder, en lugar de contestar de memoria. Es lo que hace NotebookLM, y es lo que hicieron esta mañana Perplexity, Elicit y Consensus antes de escribirte una sola línea. Adjuntar un archivo no es lo mismo. Cuando adjuntas, pones los documentos sobre el escritorio y el modelo lee lo que tú pusiste. En un RAG hay una biblioteca con bibliotecario: alguien indexó el acervo y un buscador elige por ti qué fragmentos lee el modelo.</w:t>
      </w:r>
    </w:p>
    <w:p>
      <w:pPr>
        <w:spacing w:after="120" w:line="285"/>
        <w:jc w:val="both"/>
      </w:pPr>
      <w:r>
        <w:rPr>
          <w:rFonts w:ascii="Arial" w:cs="Arial" w:eastAsia="Arial" w:hAnsi="Arial"/>
          <w:b w:val="false"/>
          <w:bCs w:val="false"/>
          <w:i w:val="false"/>
          <w:iCs w:val="false"/>
          <w:sz w:val="21"/>
          <w:szCs w:val="21"/>
        </w:rPr>
        <w:t xml:space="preserve">Vale la pena saber cómo busca ese bibliotecario. Parte los documentos en fragmentos, convierte cada fragmento en coordenadas y, cuando preguntas, recupera los fragmentos que caen más cerca de tu pregunta. Busca sobre todo por cercanía de significado, y los sistemas reales la combinan con coincidencia de palabras. Es la misma idea del viernes, cuando agrupaste los registros de atención ciudadana.</w:t>
      </w:r>
    </w:p>
    <w:p>
      <w:pPr>
        <w:spacing w:after="120" w:line="285"/>
        <w:jc w:val="both"/>
      </w:pPr>
      <w:r>
        <w:rPr>
          <w:rFonts w:ascii="Arial" w:cs="Arial" w:eastAsia="Arial" w:hAnsi="Arial"/>
          <w:b w:val="false"/>
          <w:bCs w:val="false"/>
          <w:i w:val="false"/>
          <w:iCs w:val="false"/>
          <w:sz w:val="21"/>
          <w:szCs w:val="21"/>
        </w:rPr>
        <w:t xml:space="preserve">Las dos maneras fallan calladas, y fallan distinto. Con todo sobre el escritorio, cada pregunta vuelve a procesar todas las páginas, y entre más texto hay en la mesa, peor aprovecha el modelo cada parte, sobre todo lo que queda en medio. Con un buscador, armar el índice cuesta y cada consulta es barata, pero si el fragmento correcto no se recupera, el modelo responde sin él y con el mismo aplomo. Desde fuera no siempre sabes cuál te tocó: ChatGPT, con archivos largos, pasa del escritorio a la biblioteca sin avisarte. Por eso en las dos se pide la cita y se va al párrafo.</w:t>
      </w:r>
    </w:p>
    <w:p>
      <w:pPr>
        <w:spacing w:after="120" w:line="285"/>
        <w:jc w:val="both"/>
      </w:pPr>
      <w:r>
        <w:rPr>
          <w:rFonts w:ascii="Arial" w:cs="Arial" w:eastAsia="Arial" w:hAnsi="Arial"/>
          <w:b w:val="false"/>
          <w:bCs w:val="false"/>
          <w:i w:val="false"/>
          <w:iCs w:val="false"/>
          <w:sz w:val="21"/>
          <w:szCs w:val="21"/>
        </w:rPr>
        <w:t xml:space="preserve">El Copilot Chat del Instituto no trae ese buscador. Microsoft reserva el índice semántico sobre OneDrive y SharePoint a la licencia de paga Microsoft 365 Copilot, la misma que pondría a Copilot dentro de Word y Excel, donde ya vimos que no aparece. Con Copilot Chat, adjuntar o referenciar un archivo de OneDrive equivale a subirlo a la conversación: trabaja con los archivos que tú eliges y con ninguno más. Hoy el bibliotecario eres tú, y estas son las reglas del oficio.</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Ese nombre es tu índice: con él decides qué adjuntar.</w:t>
      </w:r>
    </w:p>
    <w:p>
      <w:pPr>
        <w:spacing w:after="90" w:line="280"/>
        <w:ind w:left="520" w:hanging="260"/>
        <w:jc w:val="both"/>
      </w:pPr>
      <w:r>
        <w:rPr>
          <w:rFonts w:ascii="Arial" w:cs="Arial" w:eastAsia="Arial" w:hAnsi="Arial"/>
          <w:sz w:val="21"/>
          <w:szCs w:val="21"/>
        </w:rPr>
        <w:t xml:space="preserve">•   Adjunta en Copilot Chat los archivos que responden tu pregunta y pide la cita del párrafo. Si un documento es muy largo, no des por hecho que lo leyó completo: pregunta por una sección intermedia o pártelo.</w:t>
      </w:r>
    </w:p>
    <w:p>
      <w:pPr>
        <w:spacing w:after="90" w:line="280"/>
        <w:ind w:left="520" w:hanging="260"/>
        <w:jc w:val="both"/>
      </w:pPr>
      <w:r>
        <w:rPr>
          <w:rFonts w:ascii="Arial" w:cs="Arial" w:eastAsia="Arial" w:hAnsi="Arial"/>
          <w:sz w:val="21"/>
          <w:szCs w:val="21"/>
        </w:rPr>
        <w:t xml:space="preserve">•   Compara contra la misma pregunta sin adjuntar nada. La diferencia suele ser grande, y es lo que justifica el trabajo de organizar carpetas.</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spacing w:after="120" w:line="285"/>
        <w:jc w:val="both"/>
      </w:pPr>
      <w:r>
        <w:rPr>
          <w:rFonts w:ascii="Arial" w:cs="Arial" w:eastAsia="Arial" w:hAnsi="Arial"/>
          <w:i w:val="false"/>
          <w:iCs w:val="false"/>
          <w:sz w:val="21"/>
          <w:szCs w:val="21"/>
        </w:rPr>
        <w:t xml:space="preserve">Para profundizar está el Anexo_Ventana_de_contexto_y_RAG.pptx, en esta misma carpeta, con las ligas completas. Las fuentes principales: Lewis y otros (2020), «Retrieval-Augmented Generation for Knowledge-Intensive NLP Tasks», arXiv:2005.11401; Liu y otros (2024), «Lost in the Middle: How Language Models Use Long Contexts», arXiv:2307.03172; y Microsoft, «How Copilot Chat works with and without a Microsoft 365 Copilot license», en support.microsoft.com.</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consolida con el de los demás equipos al cerrar la sesión.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