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40"/>
          <w:szCs w:val="40"/>
        </w:rPr>
        <w:t xml:space="preserve">Propuesta de Proyecto Integrador</w:t>
      </w:r>
    </w:p>
    <w:p>
      <w:pPr>
        <w:spacing w:after="60"/>
        <w:jc w:val="center"/>
      </w:pPr>
      <w:r>
        <w:rPr>
          <w:rFonts w:ascii="Arial" w:cs="Arial" w:eastAsia="Arial" w:hAnsi="Arial"/>
          <w:color w:val="2E5496"/>
          <w:sz w:val="26"/>
          <w:szCs w:val="26"/>
        </w:rPr>
        <w:t xml:space="preserve">Curso de Inteligencia Artificial Aplicada</w:t>
      </w:r>
    </w:p>
    <w:p>
      <w:pPr>
        <w:spacing w:after="400"/>
        <w:jc w:val="center"/>
      </w:pPr>
      <w:r>
        <w:rPr>
          <w:rFonts w:ascii="Arial" w:cs="Arial" w:eastAsia="Arial" w:hAnsi="Arial"/>
          <w:color w:val="595959"/>
          <w:sz w:val="20"/>
          <w:szCs w:val="20"/>
        </w:rPr>
        <w:t xml:space="preserve">Adjudicación directa No. INEGI-10909-ADS-031/26</w:t>
      </w:r>
    </w:p>
    <w:p>
      <w:pPr>
        <w:spacing w:after="130" w:line="290"/>
        <w:jc w:val="both"/>
      </w:pPr>
      <w:r>
        <w:rPr>
          <w:rFonts w:ascii="Arial" w:cs="Arial" w:eastAsia="Arial" w:hAnsi="Arial"/>
          <w:b w:val="false"/>
          <w:bCs w:val="false"/>
          <w:i w:val="false"/>
          <w:iCs w:val="false"/>
          <w:sz w:val="21"/>
          <w:szCs w:val="21"/>
        </w:rPr>
        <w:t xml:space="preserve">Dirigido a la Dirección General Adjunta de Evaluación Integral de la Política de Desarrollo Social del INEGI. El presente documento responde a la solicitud del área usuaria de definir los alcances y objetivos particulares del proyecto integrador comprometido en el anexo de entregables, donde representa el 40 por ciento de la calificación del curso.</w:t>
      </w:r>
    </w:p>
    <w:p>
      <w:pPr>
        <w:pStyle w:val="Heading1"/>
        <w:spacing w:after="150" w:before="300"/>
      </w:pPr>
      <w:r>
        <w:rPr>
          <w:rFonts w:ascii="Arial" w:cs="Arial" w:eastAsia="Arial" w:hAnsi="Arial"/>
          <w:b/>
          <w:bCs/>
          <w:color w:val="1F3864"/>
          <w:sz w:val="28"/>
          <w:szCs w:val="28"/>
        </w:rPr>
        <w:t xml:space="preserve">1. Qué es el proyecto integrador</w:t>
      </w:r>
    </w:p>
    <w:p>
      <w:pPr>
        <w:spacing w:after="130" w:line="290"/>
        <w:jc w:val="both"/>
      </w:pPr>
      <w:r>
        <w:rPr>
          <w:rFonts w:ascii="Arial" w:cs="Arial" w:eastAsia="Arial" w:hAnsi="Arial"/>
          <w:b w:val="false"/>
          <w:bCs w:val="false"/>
          <w:i w:val="false"/>
          <w:iCs w:val="false"/>
          <w:sz w:val="21"/>
          <w:szCs w:val="21"/>
        </w:rPr>
        <w:t xml:space="preserve">El proyecto integrador es una solución aplicada a un problema real de evaluación de la política de desarrollo social, desarrollada por un equipo de participantes a lo largo del curso y entregada en la última sesión.</w:t>
      </w:r>
    </w:p>
    <w:p>
      <w:pPr>
        <w:spacing w:after="130" w:line="290"/>
        <w:jc w:val="both"/>
      </w:pPr>
      <w:r>
        <w:rPr>
          <w:rFonts w:ascii="Arial" w:cs="Arial" w:eastAsia="Arial" w:hAnsi="Arial"/>
          <w:b w:val="false"/>
          <w:bCs w:val="false"/>
          <w:i w:val="false"/>
          <w:iCs w:val="false"/>
          <w:sz w:val="21"/>
          <w:szCs w:val="21"/>
        </w:rPr>
        <w:t xml:space="preserve">La diferencia con los laboratorios prácticos es que los laboratorios trabajan sobre casos preparados por los instructores, mientras que el proyecto trabaja sobre una tarea que el propio equipo elige de su ámbito de responsabilidad. El propósito es que al terminar el curso cada equipo tenga un producto que pueda seguir usando en su trabajo y no solo un ejercicio calificado.</w:t>
      </w:r>
    </w:p>
    <w:p>
      <w:pPr>
        <w:spacing w:after="130" w:line="290"/>
        <w:jc w:val="both"/>
      </w:pPr>
      <w:r>
        <w:rPr>
          <w:rFonts w:ascii="Arial" w:cs="Arial" w:eastAsia="Arial" w:hAnsi="Arial"/>
          <w:b w:val="false"/>
          <w:bCs w:val="false"/>
          <w:i w:val="false"/>
          <w:iCs w:val="false"/>
          <w:sz w:val="21"/>
          <w:szCs w:val="21"/>
        </w:rPr>
        <w:t xml:space="preserve">El proyecto no busca demostrar que la inteligencia artificial resuelve el problema. Busca demostrar que el equipo sabe decidir en qué parte del problema conviene usarla, con qué herramienta, con qué restricciones de información y con qué protocolo de verificación. Un proyecto que concluya que para una parte de la tarea no conviene usar inteligencia artificial, y lo justifique técnicamente, se evalúa igual de bien que uno que la use en todo.</w:t>
      </w:r>
    </w:p>
    <w:p>
      <w:pPr>
        <w:pStyle w:val="Heading1"/>
        <w:spacing w:after="150" w:before="300"/>
      </w:pPr>
      <w:r>
        <w:rPr>
          <w:rFonts w:ascii="Arial" w:cs="Arial" w:eastAsia="Arial" w:hAnsi="Arial"/>
          <w:b/>
          <w:bCs/>
          <w:color w:val="1F3864"/>
          <w:sz w:val="28"/>
          <w:szCs w:val="28"/>
        </w:rPr>
        <w:t xml:space="preserve">2. Modalidad y organización</w:t>
      </w:r>
    </w:p>
    <w:p>
      <w:pPr>
        <w:spacing w:after="130" w:line="290"/>
        <w:jc w:val="both"/>
      </w:pPr>
      <w:r>
        <w:rPr>
          <w:rFonts w:ascii="Arial" w:cs="Arial" w:eastAsia="Arial" w:hAnsi="Arial"/>
          <w:b w:val="false"/>
          <w:bCs w:val="false"/>
          <w:i w:val="false"/>
          <w:iCs w:val="false"/>
          <w:sz w:val="21"/>
          <w:szCs w:val="21"/>
        </w:rPr>
        <w:t xml:space="preserve">El proyecto se desarrolla por equipo. Se proponen seis equipos de cuatro personas, que son los mismos equipos con los que se trabaja en los laboratorios prácticos desde la tercera sesión. Trabajar con los mismos equipos durante todo el curso permite que los laboratorios funcionen como avance del proyecto y no como ejercicios sueltos.</w:t>
      </w:r>
    </w:p>
    <w:p>
      <w:pPr>
        <w:spacing w:after="130" w:line="290"/>
        <w:jc w:val="both"/>
      </w:pPr>
      <w:r>
        <w:rPr>
          <w:rFonts w:ascii="Arial" w:cs="Arial" w:eastAsia="Arial" w:hAnsi="Arial"/>
          <w:b w:val="false"/>
          <w:bCs w:val="false"/>
          <w:i w:val="false"/>
          <w:iCs w:val="false"/>
          <w:sz w:val="21"/>
          <w:szCs w:val="21"/>
        </w:rPr>
        <w:t xml:space="preserve">Aunque el producto es de equipo, cada participante entrega de manera individual su bitácora de prompts, que forma parte del expediente del proyecto y permite valorar la contribución individual dentro del trabajo colectivo.</w:t>
      </w:r>
    </w:p>
    <w:p>
      <w:pPr>
        <w:spacing w:after="130" w:line="290"/>
        <w:jc w:val="both"/>
      </w:pPr>
      <w:r>
        <w:rPr>
          <w:rFonts w:ascii="Arial" w:cs="Arial" w:eastAsia="Arial" w:hAnsi="Arial"/>
          <w:b w:val="false"/>
          <w:bCs w:val="false"/>
          <w:i w:val="false"/>
          <w:iCs w:val="false"/>
          <w:sz w:val="21"/>
          <w:szCs w:val="21"/>
        </w:rPr>
        <w:t xml:space="preserve">Los equipos se conforman en la segunda sesión. Se sugiere que el área usuaria indique si conviene integrarlos por área de adscripción, para que el proyecto resulte directamente aplicable al trabajo de cada unidad, o mezclarlos de manera deliberada, para favorecer el intercambio entre perfiles cualitativos y cuantitativos.</w:t>
      </w:r>
    </w:p>
    <w:p>
      <w:pPr>
        <w:pStyle w:val="Heading1"/>
        <w:spacing w:after="150" w:before="300"/>
      </w:pPr>
      <w:r>
        <w:rPr>
          <w:rFonts w:ascii="Arial" w:cs="Arial" w:eastAsia="Arial" w:hAnsi="Arial"/>
          <w:b/>
          <w:bCs/>
          <w:color w:val="1F3864"/>
          <w:sz w:val="28"/>
          <w:szCs w:val="28"/>
        </w:rPr>
        <w:t xml:space="preserve">3. Rutas metodológicas</w:t>
      </w:r>
    </w:p>
    <w:p>
      <w:pPr>
        <w:spacing w:after="130" w:line="290"/>
        <w:jc w:val="both"/>
      </w:pPr>
      <w:r>
        <w:rPr>
          <w:rFonts w:ascii="Arial" w:cs="Arial" w:eastAsia="Arial" w:hAnsi="Arial"/>
          <w:b w:val="false"/>
          <w:bCs w:val="false"/>
          <w:i w:val="false"/>
          <w:iCs w:val="false"/>
          <w:sz w:val="21"/>
          <w:szCs w:val="21"/>
        </w:rPr>
        <w:t xml:space="preserve">Cada equipo elige una de tres rutas, que corresponden a los enfoques señalados en la rúbrica del anexo de entregables. La ruta determina qué artefacto se entrega y qué módulo del curso pesa más en su desarrollo.</w:t>
      </w:r>
    </w:p>
    <w:p>
      <w:pPr>
        <w:spacing w:after="80" w:before="200"/>
      </w:pPr>
      <w:r>
        <w:rPr>
          <w:rFonts w:ascii="Arial" w:cs="Arial" w:eastAsia="Arial" w:hAnsi="Arial"/>
          <w:b/>
          <w:bCs/>
          <w:sz w:val="19"/>
          <w:szCs w:val="19"/>
        </w:rPr>
        <w:t xml:space="preserve">Tabla 1. Rutas metodológicas del proyecto integrador</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900"/>
        <w:gridCol w:w="3500"/>
        <w:gridCol w:w="3960"/>
      </w:tblGrid>
      <w:tr>
        <w:trPr>
          <w:tblHeader/>
        </w:trPr>
        <w:tc>
          <w:tcPr>
            <w:tcW w:type="dxa" w:w="190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Ruta</w:t>
            </w:r>
          </w:p>
        </w:tc>
        <w:tc>
          <w:tcPr>
            <w:tcW w:type="dxa" w:w="350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Artefacto que se entrega</w:t>
            </w:r>
          </w:p>
        </w:tc>
        <w:tc>
          <w:tcPr>
            <w:tcW w:type="dxa" w:w="396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Ejemplos de problema abordable</w:t>
            </w:r>
          </w:p>
        </w:tc>
      </w:tr>
      <w:tr>
        <w:tc>
          <w:tcPr>
            <w:tcW w:type="dxa" w:w="1900"/>
            <w:tcMar>
              <w:top w:type="dxa" w:w="80"/>
              <w:left w:type="dxa" w:w="100"/>
              <w:bottom w:type="dxa" w:w="80"/>
              <w:right w:type="dxa" w:w="100"/>
            </w:tcMar>
          </w:tcPr>
          <w:p>
            <w:pPr>
              <w:spacing w:after="0" w:line="275"/>
              <w:jc w:val="left"/>
            </w:pPr>
            <w:r>
              <w:rPr>
                <w:rFonts w:ascii="Arial" w:cs="Arial" w:eastAsia="Arial" w:hAnsi="Arial"/>
                <w:b/>
                <w:bCs/>
                <w:sz w:val="19"/>
                <w:szCs w:val="19"/>
              </w:rPr>
              <w:t xml:space="preserve">Cualitativa</w:t>
            </w:r>
          </w:p>
        </w:tc>
        <w:tc>
          <w:tcPr>
            <w:tcW w:type="dxa" w:w="35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Una matriz de evidencia trazable acompañada de un libro de códigos ratificado y de una síntesis analítica.</w:t>
            </w:r>
          </w:p>
        </w:tc>
        <w:tc>
          <w:tcPr>
            <w:tcW w:type="dxa" w:w="3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Comparar los requisitos documentales de varios programas para detectar inconsistencias normativas. Sistematizar registros de atención ciudadana para identificar los motivos de inconformidad más frecuentes. Analizar transcripciones de foros de consulta.</w:t>
            </w:r>
          </w:p>
        </w:tc>
      </w:tr>
      <w:tr>
        <w:tc>
          <w:tcPr>
            <w:tcW w:type="dxa" w:w="1900"/>
            <w:tcMar>
              <w:top w:type="dxa" w:w="80"/>
              <w:left w:type="dxa" w:w="100"/>
              <w:bottom w:type="dxa" w:w="80"/>
              <w:right w:type="dxa" w:w="100"/>
            </w:tcMar>
          </w:tcPr>
          <w:p>
            <w:pPr>
              <w:spacing w:after="0" w:line="275"/>
              <w:jc w:val="left"/>
            </w:pPr>
            <w:r>
              <w:rPr>
                <w:rFonts w:ascii="Arial" w:cs="Arial" w:eastAsia="Arial" w:hAnsi="Arial"/>
                <w:b/>
                <w:bCs/>
                <w:sz w:val="19"/>
                <w:szCs w:val="19"/>
              </w:rPr>
              <w:t xml:space="preserve">Cuantitativa</w:t>
            </w:r>
          </w:p>
        </w:tc>
        <w:tc>
          <w:tcPr>
            <w:tcW w:type="dxa" w:w="35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Un cuaderno reproducible documentado, con el flujo completo desde la fuente hasta el indicador.</w:t>
            </w:r>
          </w:p>
        </w:tc>
        <w:tc>
          <w:tcPr>
            <w:tcW w:type="dxa" w:w="3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Depurar y documentar el procesamiento de un registro administrativo. Construir un indicador de evaluación con su procedimiento auditable. Automatizar un análisis exploratorio que hoy se hace a mano.</w:t>
            </w:r>
          </w:p>
        </w:tc>
      </w:tr>
      <w:tr>
        <w:tc>
          <w:tcPr>
            <w:tcW w:type="dxa" w:w="1900"/>
            <w:tcMar>
              <w:top w:type="dxa" w:w="80"/>
              <w:left w:type="dxa" w:w="100"/>
              <w:bottom w:type="dxa" w:w="80"/>
              <w:right w:type="dxa" w:w="100"/>
            </w:tcMar>
          </w:tcPr>
          <w:p>
            <w:pPr>
              <w:spacing w:after="0" w:line="275"/>
              <w:jc w:val="left"/>
            </w:pPr>
            <w:r>
              <w:rPr>
                <w:rFonts w:ascii="Arial" w:cs="Arial" w:eastAsia="Arial" w:hAnsi="Arial"/>
                <w:b/>
                <w:bCs/>
                <w:sz w:val="19"/>
                <w:szCs w:val="19"/>
              </w:rPr>
              <w:t xml:space="preserve">Mixta</w:t>
            </w:r>
          </w:p>
        </w:tc>
        <w:tc>
          <w:tcPr>
            <w:tcW w:type="dxa" w:w="35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Un producto que combine ambos, con la triangulación documentada de manera explícita.</w:t>
            </w:r>
          </w:p>
        </w:tc>
        <w:tc>
          <w:tcPr>
            <w:tcW w:type="dxa" w:w="3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Contrastar lo que reportan los registros cuantitativos de un programa contra lo que reportan sus registros cualitativos de atención ciudadana, y explicar las discrepancias.</w:t>
            </w:r>
          </w:p>
        </w:tc>
      </w:tr>
    </w:tbl>
    <w:p>
      <w:r>
        <w:br w:type="page"/>
      </w:r>
    </w:p>
    <w:p>
      <w:pPr>
        <w:pStyle w:val="Heading1"/>
        <w:spacing w:after="150" w:before="300"/>
      </w:pPr>
      <w:r>
        <w:rPr>
          <w:rFonts w:ascii="Arial" w:cs="Arial" w:eastAsia="Arial" w:hAnsi="Arial"/>
          <w:b/>
          <w:bCs/>
          <w:color w:val="1F3864"/>
          <w:sz w:val="28"/>
          <w:szCs w:val="28"/>
        </w:rPr>
        <w:t xml:space="preserve">4. Componentes del entregable</w:t>
      </w:r>
    </w:p>
    <w:p>
      <w:pPr>
        <w:spacing w:after="130" w:line="290"/>
        <w:jc w:val="both"/>
      </w:pPr>
      <w:r>
        <w:rPr>
          <w:rFonts w:ascii="Arial" w:cs="Arial" w:eastAsia="Arial" w:hAnsi="Arial"/>
          <w:b w:val="false"/>
          <w:bCs w:val="false"/>
          <w:i w:val="false"/>
          <w:iCs w:val="false"/>
          <w:sz w:val="21"/>
          <w:szCs w:val="21"/>
        </w:rPr>
        <w:t xml:space="preserve">El proyecto se entrega con cinco piezas. Las tres primeras se construyen durante el curso y no requieren trabajo adicional fuera de las sesiones.</w:t>
      </w:r>
    </w:p>
    <w:p>
      <w:pPr>
        <w:spacing w:after="80" w:before="200"/>
      </w:pPr>
      <w:r>
        <w:rPr>
          <w:rFonts w:ascii="Arial" w:cs="Arial" w:eastAsia="Arial" w:hAnsi="Arial"/>
          <w:b/>
          <w:bCs/>
          <w:sz w:val="19"/>
          <w:szCs w:val="19"/>
        </w:rPr>
        <w:t xml:space="preserve">Tabla 2. Piezas del entregable</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2900"/>
        <w:gridCol w:w="5760"/>
      </w:tblGrid>
      <w:tr>
        <w:trPr>
          <w:tblHeader/>
        </w:trPr>
        <w:tc>
          <w:tcPr>
            <w:tcW w:type="dxa" w:w="70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No.</w:t>
            </w:r>
          </w:p>
        </w:tc>
        <w:tc>
          <w:tcPr>
            <w:tcW w:type="dxa" w:w="290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Pieza</w:t>
            </w:r>
          </w:p>
        </w:tc>
        <w:tc>
          <w:tcPr>
            <w:tcW w:type="dxa" w:w="576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Qué contiene y cuándo se construye</w:t>
            </w:r>
          </w:p>
        </w:tc>
      </w:tr>
      <w:tr>
        <w:tc>
          <w:tcPr>
            <w:tcW w:type="dxa" w:w="700"/>
            <w:tcMar>
              <w:top w:type="dxa" w:w="80"/>
              <w:left w:type="dxa" w:w="100"/>
              <w:bottom w:type="dxa" w:w="80"/>
              <w:right w:type="dxa" w:w="100"/>
            </w:tcMar>
          </w:tcPr>
          <w:p>
            <w:pPr>
              <w:spacing w:after="0" w:line="275"/>
              <w:jc w:val="left"/>
            </w:pPr>
            <w:r>
              <w:rPr>
                <w:rFonts w:ascii="Arial" w:cs="Arial" w:eastAsia="Arial" w:hAnsi="Arial"/>
                <w:b/>
                <w:bCs/>
                <w:sz w:val="19"/>
                <w:szCs w:val="19"/>
              </w:rPr>
              <w:t xml:space="preserve">1</w:t>
            </w:r>
          </w:p>
        </w:tc>
        <w:tc>
          <w:tcPr>
            <w:tcW w:type="dxa" w:w="2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Ficha de idoneidad del proyecto</w:t>
            </w:r>
          </w:p>
        </w:tc>
        <w:tc>
          <w:tcPr>
            <w:tcW w:type="dxa" w:w="57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La justificación técnica de por qué conviene usar inteligencia artificial para esta tarea, qué herramienta se eligió y por qué, qué información se necesita y de qué nivel de sensibilidad es, qué limitaciones tiene el enfoque y cómo se verificarán los resultados. Se construye a partir del formato de la primera sesión.</w:t>
            </w:r>
          </w:p>
        </w:tc>
      </w:tr>
      <w:tr>
        <w:tc>
          <w:tcPr>
            <w:tcW w:type="dxa" w:w="700"/>
            <w:tcMar>
              <w:top w:type="dxa" w:w="80"/>
              <w:left w:type="dxa" w:w="100"/>
              <w:bottom w:type="dxa" w:w="80"/>
              <w:right w:type="dxa" w:w="100"/>
            </w:tcMar>
          </w:tcPr>
          <w:p>
            <w:pPr>
              <w:spacing w:after="0" w:line="275"/>
              <w:jc w:val="left"/>
            </w:pPr>
            <w:r>
              <w:rPr>
                <w:rFonts w:ascii="Arial" w:cs="Arial" w:eastAsia="Arial" w:hAnsi="Arial"/>
                <w:b/>
                <w:bCs/>
                <w:sz w:val="19"/>
                <w:szCs w:val="19"/>
              </w:rPr>
              <w:t xml:space="preserve">2</w:t>
            </w:r>
          </w:p>
        </w:tc>
        <w:tc>
          <w:tcPr>
            <w:tcW w:type="dxa" w:w="2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Bitácora consolidada del equipo</w:t>
            </w:r>
          </w:p>
        </w:tc>
        <w:tc>
          <w:tcPr>
            <w:tcW w:type="dxa" w:w="57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El registro de las interacciones con las herramientas, con la versión de cada instrucción, el resultado obtenido y la verificación aplicada. Se anexan las bitácoras individuales de los cuatro integrantes. Se construye a lo largo de las doce sesiones.</w:t>
            </w:r>
          </w:p>
        </w:tc>
      </w:tr>
      <w:tr>
        <w:tc>
          <w:tcPr>
            <w:tcW w:type="dxa" w:w="700"/>
            <w:tcMar>
              <w:top w:type="dxa" w:w="80"/>
              <w:left w:type="dxa" w:w="100"/>
              <w:bottom w:type="dxa" w:w="80"/>
              <w:right w:type="dxa" w:w="100"/>
            </w:tcMar>
          </w:tcPr>
          <w:p>
            <w:pPr>
              <w:spacing w:after="0" w:line="275"/>
              <w:jc w:val="left"/>
            </w:pPr>
            <w:r>
              <w:rPr>
                <w:rFonts w:ascii="Arial" w:cs="Arial" w:eastAsia="Arial" w:hAnsi="Arial"/>
                <w:b/>
                <w:bCs/>
                <w:sz w:val="19"/>
                <w:szCs w:val="19"/>
              </w:rPr>
              <w:t xml:space="preserve">3</w:t>
            </w:r>
          </w:p>
        </w:tc>
        <w:tc>
          <w:tcPr>
            <w:tcW w:type="dxa" w:w="2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El artefacto</w:t>
            </w:r>
          </w:p>
        </w:tc>
        <w:tc>
          <w:tcPr>
            <w:tcW w:type="dxa" w:w="57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La matriz, el cuaderno o el producto mixto, según la ruta elegida. Se construye durante los laboratorios prácticos y se completa en las últimas sesiones.</w:t>
            </w:r>
          </w:p>
        </w:tc>
      </w:tr>
      <w:tr>
        <w:tc>
          <w:tcPr>
            <w:tcW w:type="dxa" w:w="700"/>
            <w:tcMar>
              <w:top w:type="dxa" w:w="80"/>
              <w:left w:type="dxa" w:w="100"/>
              <w:bottom w:type="dxa" w:w="80"/>
              <w:right w:type="dxa" w:w="100"/>
            </w:tcMar>
          </w:tcPr>
          <w:p>
            <w:pPr>
              <w:spacing w:after="0" w:line="275"/>
              <w:jc w:val="left"/>
            </w:pPr>
            <w:r>
              <w:rPr>
                <w:rFonts w:ascii="Arial" w:cs="Arial" w:eastAsia="Arial" w:hAnsi="Arial"/>
                <w:b/>
                <w:bCs/>
                <w:sz w:val="19"/>
                <w:szCs w:val="19"/>
              </w:rPr>
              <w:t xml:space="preserve">4</w:t>
            </w:r>
          </w:p>
        </w:tc>
        <w:tc>
          <w:tcPr>
            <w:tcW w:type="dxa" w:w="2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Nota técnica</w:t>
            </w:r>
          </w:p>
        </w:tc>
        <w:tc>
          <w:tcPr>
            <w:tcW w:type="dxa" w:w="57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Máximo dos cuartillas. Declara las limitaciones del trabajo, el protocolo de verificación que se aplicó, qué no se pudo hacer y por qué, y qué haría falta para llevar el producto a operación. Es la pieza que más pesa en la evaluación de la justificación técnica.</w:t>
            </w:r>
          </w:p>
        </w:tc>
      </w:tr>
      <w:tr>
        <w:tc>
          <w:tcPr>
            <w:tcW w:type="dxa" w:w="700"/>
            <w:tcMar>
              <w:top w:type="dxa" w:w="80"/>
              <w:left w:type="dxa" w:w="100"/>
              <w:bottom w:type="dxa" w:w="80"/>
              <w:right w:type="dxa" w:w="100"/>
            </w:tcMar>
          </w:tcPr>
          <w:p>
            <w:pPr>
              <w:spacing w:after="0" w:line="275"/>
              <w:jc w:val="left"/>
            </w:pPr>
            <w:r>
              <w:rPr>
                <w:rFonts w:ascii="Arial" w:cs="Arial" w:eastAsia="Arial" w:hAnsi="Arial"/>
                <w:b/>
                <w:bCs/>
                <w:sz w:val="19"/>
                <w:szCs w:val="19"/>
              </w:rPr>
              <w:t xml:space="preserve">5</w:t>
            </w:r>
          </w:p>
        </w:tc>
        <w:tc>
          <w:tcPr>
            <w:tcW w:type="dxa" w:w="2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Presentación final</w:t>
            </w:r>
          </w:p>
        </w:tc>
        <w:tc>
          <w:tcPr>
            <w:tcW w:type="dxa" w:w="57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Doce minutos en la sesión 12, seguidos de coevaluación y retroalimentación técnica estructurada mediante rúbrica explícita.</w:t>
            </w:r>
          </w:p>
        </w:tc>
      </w:tr>
    </w:tbl>
    <w:p>
      <w:pPr>
        <w:pStyle w:val="Heading1"/>
        <w:spacing w:after="150" w:before="300"/>
      </w:pPr>
      <w:r>
        <w:rPr>
          <w:rFonts w:ascii="Arial" w:cs="Arial" w:eastAsia="Arial" w:hAnsi="Arial"/>
          <w:b/>
          <w:bCs/>
          <w:color w:val="1F3864"/>
          <w:sz w:val="28"/>
          <w:szCs w:val="28"/>
        </w:rPr>
        <w:t xml:space="preserve">5. Restricción de manejo de información</w:t>
      </w:r>
    </w:p>
    <w:p>
      <w:pPr>
        <w:spacing w:after="130" w:line="290"/>
        <w:jc w:val="both"/>
      </w:pPr>
      <w:r>
        <w:rPr>
          <w:rFonts w:ascii="Arial" w:cs="Arial" w:eastAsia="Arial" w:hAnsi="Arial"/>
          <w:b w:val="false"/>
          <w:bCs w:val="false"/>
          <w:i w:val="false"/>
          <w:iCs w:val="false"/>
          <w:sz w:val="21"/>
          <w:szCs w:val="21"/>
        </w:rPr>
        <w:t xml:space="preserve">Esta sección requiere confirmación del área usuaria antes de comunicarse a los participantes.</w:t>
      </w:r>
    </w:p>
    <w:p>
      <w:pPr>
        <w:spacing w:after="130" w:line="290"/>
        <w:jc w:val="both"/>
      </w:pPr>
      <w:r>
        <w:rPr>
          <w:rFonts w:ascii="Arial" w:cs="Arial" w:eastAsia="Arial" w:hAnsi="Arial"/>
          <w:b w:val="false"/>
          <w:bCs w:val="false"/>
          <w:i w:val="false"/>
          <w:iCs w:val="false"/>
          <w:sz w:val="21"/>
          <w:szCs w:val="21"/>
        </w:rPr>
        <w:t xml:space="preserve">El Instituto ha informado que no cuenta con lineamientos institucionales sobre el uso de inteligencia artificial, y que las herramientas liberadas se usarán con planes gratuitos, sin suscripción institucional. En ausencia de una norma interna, el curso propone la siguiente regla de trabajo para el proyecto.</w:t>
      </w:r>
    </w:p>
    <w:p>
      <w:pPr>
        <w:spacing w:after="100" w:line="285"/>
        <w:ind w:left="560" w:hanging="280"/>
        <w:jc w:val="both"/>
      </w:pPr>
      <w:r>
        <w:rPr>
          <w:rFonts w:ascii="Arial" w:cs="Arial" w:eastAsia="Arial" w:hAnsi="Arial"/>
          <w:sz w:val="21"/>
          <w:szCs w:val="21"/>
        </w:rPr>
        <w:t xml:space="preserve">El proyecto se desarrolla con información pública o con información interna de trabajo que no contenga datos personales ni información sujeta a reserva.</w:t>
      </w:r>
    </w:p>
    <w:p>
      <w:pPr>
        <w:spacing w:after="100" w:line="285"/>
        <w:ind w:left="560" w:hanging="280"/>
        <w:jc w:val="both"/>
      </w:pPr>
      <w:r>
        <w:rPr>
          <w:rFonts w:ascii="Arial" w:cs="Arial" w:eastAsia="Arial" w:hAnsi="Arial"/>
          <w:sz w:val="21"/>
          <w:szCs w:val="21"/>
        </w:rPr>
        <w:t xml:space="preserve">La información interna de trabajo se procesa exclusivamente en Microsoft 365 Copilot, por ser la única herramienta cubierta por un contrato institucional.</w:t>
      </w:r>
    </w:p>
    <w:p>
      <w:pPr>
        <w:spacing w:after="100" w:line="285"/>
        <w:ind w:left="560" w:hanging="280"/>
        <w:jc w:val="both"/>
      </w:pPr>
      <w:r>
        <w:rPr>
          <w:rFonts w:ascii="Arial" w:cs="Arial" w:eastAsia="Arial" w:hAnsi="Arial"/>
          <w:sz w:val="21"/>
          <w:szCs w:val="21"/>
        </w:rPr>
        <w:t xml:space="preserve">Las herramientas con plan gratuito, que son las demás liberadas, se usan únicamente con información pública, y cada participante debe desactivar el uso de sus conversaciones para entrenamiento antes de utilizarlas. Este paso se realiza de manera guiada en la primera sesión.</w:t>
      </w:r>
    </w:p>
    <w:p>
      <w:pPr>
        <w:spacing w:after="100" w:line="285"/>
        <w:ind w:left="560" w:hanging="280"/>
        <w:jc w:val="both"/>
      </w:pPr>
      <w:r>
        <w:rPr>
          <w:rFonts w:ascii="Arial" w:cs="Arial" w:eastAsia="Arial" w:hAnsi="Arial"/>
          <w:sz w:val="21"/>
          <w:szCs w:val="21"/>
        </w:rPr>
        <w:t xml:space="preserve">Un equipo cuyo problema requiera necesariamente trabajar con información confidencial deberá hacerlo sobre una versión enmascarada, técnica que se enseña en la primera sesión, o replantear el alcance del proyecto.</w:t>
      </w:r>
    </w:p>
    <w:p>
      <w:pPr>
        <w:spacing w:after="130" w:line="290"/>
        <w:jc w:val="both"/>
      </w:pPr>
      <w:r>
        <w:rPr>
          <w:rFonts w:ascii="Arial" w:cs="Arial" w:eastAsia="Arial" w:hAnsi="Arial"/>
          <w:b w:val="false"/>
          <w:bCs w:val="false"/>
          <w:i w:val="false"/>
          <w:iCs w:val="false"/>
          <w:sz w:val="21"/>
          <w:szCs w:val="21"/>
        </w:rPr>
        <w:t xml:space="preserve">Se sugiere que esta regla sea revisada por el área competente del Instituto antes del inicio del curso. Si el Instituto emite un lineamiento propio durante el desarrollo del curso, ese lineamiento sustituye a esta regla.</w:t>
      </w:r>
    </w:p>
    <w:p>
      <w:pPr>
        <w:spacing w:after="130" w:line="290"/>
        <w:jc w:val="both"/>
      </w:pPr>
      <w:r>
        <w:rPr>
          <w:rFonts w:ascii="Arial" w:cs="Arial" w:eastAsia="Arial" w:hAnsi="Arial"/>
          <w:b w:val="false"/>
          <w:bCs w:val="false"/>
          <w:i w:val="false"/>
          <w:iCs w:val="false"/>
          <w:sz w:val="21"/>
          <w:szCs w:val="21"/>
        </w:rPr>
        <w:t xml:space="preserve">Se propone además que el conjunto de reglas de manejo de información construido durante el curso se entregue al área usuaria como insumo para un eventual lineamiento interno. Sería un subproducto útil y sin costo adicional.</w:t>
      </w:r>
    </w:p>
    <w:p>
      <w:r>
        <w:br w:type="page"/>
      </w:r>
    </w:p>
    <w:p>
      <w:pPr>
        <w:pStyle w:val="Heading1"/>
        <w:spacing w:after="150" w:before="300"/>
      </w:pPr>
      <w:r>
        <w:rPr>
          <w:rFonts w:ascii="Arial" w:cs="Arial" w:eastAsia="Arial" w:hAnsi="Arial"/>
          <w:b/>
          <w:bCs/>
          <w:color w:val="1F3864"/>
          <w:sz w:val="28"/>
          <w:szCs w:val="28"/>
        </w:rPr>
        <w:t xml:space="preserve">6. Calendario e hitos</w:t>
      </w:r>
    </w:p>
    <w:p>
      <w:pPr>
        <w:spacing w:after="130" w:line="290"/>
        <w:jc w:val="both"/>
      </w:pPr>
      <w:r>
        <w:rPr>
          <w:rFonts w:ascii="Arial" w:cs="Arial" w:eastAsia="Arial" w:hAnsi="Arial"/>
          <w:b w:val="false"/>
          <w:bCs w:val="false"/>
          <w:i w:val="false"/>
          <w:iCs w:val="false"/>
          <w:sz w:val="21"/>
          <w:szCs w:val="21"/>
        </w:rPr>
        <w:t xml:space="preserve">El proyecto no requiere sesiones adicionales. Sus hitos se distribuyen en las doce sesiones ya programadas.</w:t>
      </w:r>
    </w:p>
    <w:p>
      <w:pPr>
        <w:spacing w:after="80" w:before="200"/>
      </w:pPr>
      <w:r>
        <w:rPr>
          <w:rFonts w:ascii="Arial" w:cs="Arial" w:eastAsia="Arial" w:hAnsi="Arial"/>
          <w:b/>
          <w:bCs/>
          <w:sz w:val="19"/>
          <w:szCs w:val="19"/>
        </w:rPr>
        <w:t xml:space="preserve">Tabla 3. Hitos del proyecto integrador</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1900"/>
        <w:gridCol w:w="5960"/>
      </w:tblGrid>
      <w:tr>
        <w:trPr>
          <w:tblHeader/>
        </w:trPr>
        <w:tc>
          <w:tcPr>
            <w:tcW w:type="dxa" w:w="150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Sesión</w:t>
            </w:r>
          </w:p>
        </w:tc>
        <w:tc>
          <w:tcPr>
            <w:tcW w:type="dxa" w:w="190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Fecha</w:t>
            </w:r>
          </w:p>
        </w:tc>
        <w:tc>
          <w:tcPr>
            <w:tcW w:type="dxa" w:w="596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Hito</w:t>
            </w:r>
          </w:p>
        </w:tc>
      </w:tr>
      <w:tr>
        <w:tc>
          <w:tcPr>
            <w:tcW w:type="dxa" w:w="1500"/>
            <w:tcMar>
              <w:top w:type="dxa" w:w="80"/>
              <w:left w:type="dxa" w:w="100"/>
              <w:bottom w:type="dxa" w:w="80"/>
              <w:right w:type="dxa" w:w="100"/>
            </w:tcMar>
          </w:tcPr>
          <w:p>
            <w:pPr>
              <w:spacing w:after="0" w:line="275"/>
              <w:jc w:val="left"/>
            </w:pPr>
            <w:r>
              <w:rPr>
                <w:rFonts w:ascii="Arial" w:cs="Arial" w:eastAsia="Arial" w:hAnsi="Arial"/>
                <w:b/>
                <w:bCs/>
                <w:sz w:val="19"/>
                <w:szCs w:val="19"/>
              </w:rPr>
              <w:t xml:space="preserve">Sesión 1</w:t>
            </w:r>
          </w:p>
        </w:tc>
        <w:tc>
          <w:tcPr>
            <w:tcW w:type="dxa" w:w="1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14 de septiembre</w:t>
            </w:r>
          </w:p>
        </w:tc>
        <w:tc>
          <w:tcPr>
            <w:tcW w:type="dxa" w:w="5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Se anuncia el proyecto y se explica que el material producido en los laboratorios puede ser su base.</w:t>
            </w:r>
          </w:p>
        </w:tc>
      </w:tr>
      <w:tr>
        <w:tc>
          <w:tcPr>
            <w:tcW w:type="dxa" w:w="1500"/>
            <w:tcMar>
              <w:top w:type="dxa" w:w="80"/>
              <w:left w:type="dxa" w:w="100"/>
              <w:bottom w:type="dxa" w:w="80"/>
              <w:right w:type="dxa" w:w="100"/>
            </w:tcMar>
          </w:tcPr>
          <w:p>
            <w:pPr>
              <w:spacing w:after="0" w:line="275"/>
              <w:jc w:val="left"/>
            </w:pPr>
            <w:r>
              <w:rPr>
                <w:rFonts w:ascii="Arial" w:cs="Arial" w:eastAsia="Arial" w:hAnsi="Arial"/>
                <w:b/>
                <w:bCs/>
                <w:sz w:val="19"/>
                <w:szCs w:val="19"/>
              </w:rPr>
              <w:t xml:space="preserve">Sesión 2</w:t>
            </w:r>
          </w:p>
        </w:tc>
        <w:tc>
          <w:tcPr>
            <w:tcW w:type="dxa" w:w="1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15 de septiembre</w:t>
            </w:r>
          </w:p>
        </w:tc>
        <w:tc>
          <w:tcPr>
            <w:tcW w:type="dxa" w:w="5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Se conforman los seis equipos.</w:t>
            </w:r>
          </w:p>
        </w:tc>
      </w:tr>
      <w:tr>
        <w:tc>
          <w:tcPr>
            <w:tcW w:type="dxa" w:w="1500"/>
            <w:tcMar>
              <w:top w:type="dxa" w:w="80"/>
              <w:left w:type="dxa" w:w="100"/>
              <w:bottom w:type="dxa" w:w="80"/>
              <w:right w:type="dxa" w:w="100"/>
            </w:tcMar>
          </w:tcPr>
          <w:p>
            <w:pPr>
              <w:spacing w:after="0" w:line="275"/>
              <w:jc w:val="left"/>
            </w:pPr>
            <w:r>
              <w:rPr>
                <w:rFonts w:ascii="Arial" w:cs="Arial" w:eastAsia="Arial" w:hAnsi="Arial"/>
                <w:b/>
                <w:bCs/>
                <w:sz w:val="19"/>
                <w:szCs w:val="19"/>
              </w:rPr>
              <w:t xml:space="preserve">Sesión 4</w:t>
            </w:r>
          </w:p>
        </w:tc>
        <w:tc>
          <w:tcPr>
            <w:tcW w:type="dxa" w:w="1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18 de septiembre</w:t>
            </w:r>
          </w:p>
        </w:tc>
        <w:tc>
          <w:tcPr>
            <w:tcW w:type="dxa" w:w="5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Cada equipo registra un tema tentativo y la ruta metodológica que considera.</w:t>
            </w:r>
          </w:p>
        </w:tc>
      </w:tr>
      <w:tr>
        <w:tc>
          <w:tcPr>
            <w:tcW w:type="dxa" w:w="1500"/>
            <w:tcMar>
              <w:top w:type="dxa" w:w="80"/>
              <w:left w:type="dxa" w:w="100"/>
              <w:bottom w:type="dxa" w:w="80"/>
              <w:right w:type="dxa" w:w="100"/>
            </w:tcMar>
          </w:tcPr>
          <w:p>
            <w:pPr>
              <w:spacing w:after="0" w:line="275"/>
              <w:jc w:val="left"/>
            </w:pPr>
            <w:r>
              <w:rPr>
                <w:rFonts w:ascii="Arial" w:cs="Arial" w:eastAsia="Arial" w:hAnsi="Arial"/>
                <w:b/>
                <w:bCs/>
                <w:sz w:val="19"/>
                <w:szCs w:val="19"/>
              </w:rPr>
              <w:t xml:space="preserve">Sesión 6</w:t>
            </w:r>
          </w:p>
        </w:tc>
        <w:tc>
          <w:tcPr>
            <w:tcW w:type="dxa" w:w="1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22 de septiembre</w:t>
            </w:r>
          </w:p>
        </w:tc>
        <w:tc>
          <w:tcPr>
            <w:tcW w:type="dxa" w:w="5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Tema definitivo y ficha de idoneidad del proyecto entregada. Cierra el Módulo II.</w:t>
            </w:r>
          </w:p>
        </w:tc>
      </w:tr>
      <w:tr>
        <w:tc>
          <w:tcPr>
            <w:tcW w:type="dxa" w:w="1500"/>
            <w:tcMar>
              <w:top w:type="dxa" w:w="80"/>
              <w:left w:type="dxa" w:w="100"/>
              <w:bottom w:type="dxa" w:w="80"/>
              <w:right w:type="dxa" w:w="100"/>
            </w:tcMar>
          </w:tcPr>
          <w:p>
            <w:pPr>
              <w:spacing w:after="0" w:line="275"/>
              <w:jc w:val="left"/>
            </w:pPr>
            <w:r>
              <w:rPr>
                <w:rFonts w:ascii="Arial" w:cs="Arial" w:eastAsia="Arial" w:hAnsi="Arial"/>
                <w:b/>
                <w:bCs/>
                <w:sz w:val="19"/>
                <w:szCs w:val="19"/>
              </w:rPr>
              <w:t xml:space="preserve">Sesión 9</w:t>
            </w:r>
          </w:p>
        </w:tc>
        <w:tc>
          <w:tcPr>
            <w:tcW w:type="dxa" w:w="1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25 de septiembre</w:t>
            </w:r>
          </w:p>
        </w:tc>
        <w:tc>
          <w:tcPr>
            <w:tcW w:type="dxa" w:w="5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Avance del artefacto. Retroalimentación de los instructores por equipo.</w:t>
            </w:r>
          </w:p>
        </w:tc>
      </w:tr>
      <w:tr>
        <w:tc>
          <w:tcPr>
            <w:tcW w:type="dxa" w:w="1500"/>
            <w:tcMar>
              <w:top w:type="dxa" w:w="80"/>
              <w:left w:type="dxa" w:w="100"/>
              <w:bottom w:type="dxa" w:w="80"/>
              <w:right w:type="dxa" w:w="100"/>
            </w:tcMar>
          </w:tcPr>
          <w:p>
            <w:pPr>
              <w:spacing w:after="0" w:line="275"/>
              <w:jc w:val="left"/>
            </w:pPr>
            <w:r>
              <w:rPr>
                <w:rFonts w:ascii="Arial" w:cs="Arial" w:eastAsia="Arial" w:hAnsi="Arial"/>
                <w:b/>
                <w:bCs/>
                <w:sz w:val="19"/>
                <w:szCs w:val="19"/>
              </w:rPr>
              <w:t xml:space="preserve">Sesión 11</w:t>
            </w:r>
          </w:p>
        </w:tc>
        <w:tc>
          <w:tcPr>
            <w:tcW w:type="dxa" w:w="1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30 de septiembre</w:t>
            </w:r>
          </w:p>
        </w:tc>
        <w:tc>
          <w:tcPr>
            <w:tcW w:type="dxa" w:w="5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Preparación de la presentación y ensayo de la comunicación de resultados.</w:t>
            </w:r>
          </w:p>
        </w:tc>
      </w:tr>
      <w:tr>
        <w:tc>
          <w:tcPr>
            <w:tcW w:type="dxa" w:w="1500"/>
            <w:tcMar>
              <w:top w:type="dxa" w:w="80"/>
              <w:left w:type="dxa" w:w="100"/>
              <w:bottom w:type="dxa" w:w="80"/>
              <w:right w:type="dxa" w:w="100"/>
            </w:tcMar>
          </w:tcPr>
          <w:p>
            <w:pPr>
              <w:spacing w:after="0" w:line="275"/>
              <w:jc w:val="left"/>
            </w:pPr>
            <w:r>
              <w:rPr>
                <w:rFonts w:ascii="Arial" w:cs="Arial" w:eastAsia="Arial" w:hAnsi="Arial"/>
                <w:b/>
                <w:bCs/>
                <w:sz w:val="19"/>
                <w:szCs w:val="19"/>
              </w:rPr>
              <w:t xml:space="preserve">Sesión 12</w:t>
            </w:r>
          </w:p>
        </w:tc>
        <w:tc>
          <w:tcPr>
            <w:tcW w:type="dxa" w:w="19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2 de octubre</w:t>
            </w:r>
          </w:p>
        </w:tc>
        <w:tc>
          <w:tcPr>
            <w:tcW w:type="dxa" w:w="59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Presentación final, coevaluación y retroalimentación con rúbrica explícita.</w:t>
            </w:r>
          </w:p>
        </w:tc>
      </w:tr>
    </w:tbl>
    <w:p>
      <w:pPr>
        <w:spacing w:after="130" w:line="290"/>
        <w:jc w:val="both"/>
      </w:pPr>
      <w:r>
        <w:rPr>
          <w:rFonts w:ascii="Arial" w:cs="Arial" w:eastAsia="Arial" w:hAnsi="Arial"/>
          <w:b w:val="false"/>
          <w:bCs w:val="false"/>
          <w:i w:val="false"/>
          <w:iCs w:val="false"/>
          <w:sz w:val="21"/>
          <w:szCs w:val="21"/>
        </w:rPr>
        <w:t xml:space="preserve">La sesión 12 se organiza en seis bloques de veinte minutos, uno por equipo, que comprenden doce minutos de presentación y ocho de coevaluación y retroalimentación técnica. Los treinta minutos restantes se destinan a la apertura, las conclusiones generales y la hoja de ruta para la adopción continua en el Instituto.</w:t>
      </w:r>
    </w:p>
    <w:p>
      <w:pPr>
        <w:pStyle w:val="Heading1"/>
        <w:spacing w:after="150" w:before="300"/>
      </w:pPr>
      <w:r>
        <w:rPr>
          <w:rFonts w:ascii="Arial" w:cs="Arial" w:eastAsia="Arial" w:hAnsi="Arial"/>
          <w:b/>
          <w:bCs/>
          <w:color w:val="1F3864"/>
          <w:sz w:val="28"/>
          <w:szCs w:val="28"/>
        </w:rPr>
        <w:t xml:space="preserve">7. Rúbrica de evaluación</w:t>
      </w:r>
    </w:p>
    <w:p>
      <w:pPr>
        <w:spacing w:after="130" w:line="290"/>
        <w:jc w:val="both"/>
      </w:pPr>
      <w:r>
        <w:rPr>
          <w:rFonts w:ascii="Arial" w:cs="Arial" w:eastAsia="Arial" w:hAnsi="Arial"/>
          <w:b w:val="false"/>
          <w:bCs w:val="false"/>
          <w:i w:val="false"/>
          <w:iCs w:val="false"/>
          <w:sz w:val="21"/>
          <w:szCs w:val="21"/>
        </w:rPr>
        <w:t xml:space="preserve">El proyecto integrador representa el 40 por ciento de la calificación del curso, conforme al anexo de entregables. Esa calificación se distribuye de la siguiente manera.</w:t>
      </w:r>
    </w:p>
    <w:p>
      <w:pPr>
        <w:spacing w:after="80" w:before="200"/>
      </w:pPr>
      <w:r>
        <w:rPr>
          <w:rFonts w:ascii="Arial" w:cs="Arial" w:eastAsia="Arial" w:hAnsi="Arial"/>
          <w:b/>
          <w:bCs/>
          <w:sz w:val="19"/>
          <w:szCs w:val="19"/>
        </w:rPr>
        <w:t xml:space="preserve">Tabla 4. Rúbrica del proyecto integrador</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600"/>
        <w:gridCol w:w="1200"/>
        <w:gridCol w:w="4560"/>
      </w:tblGrid>
      <w:tr>
        <w:trPr>
          <w:tblHeader/>
        </w:trPr>
        <w:tc>
          <w:tcPr>
            <w:tcW w:type="dxa" w:w="360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Criterio</w:t>
            </w:r>
          </w:p>
        </w:tc>
        <w:tc>
          <w:tcPr>
            <w:tcW w:type="dxa" w:w="120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Peso</w:t>
            </w:r>
          </w:p>
        </w:tc>
        <w:tc>
          <w:tcPr>
            <w:tcW w:type="dxa" w:w="4560"/>
            <w:shd w:fill="D9E2F3" w:color="auto" w:val="clear"/>
            <w:tcMar>
              <w:top w:type="dxa" w:w="80"/>
              <w:left w:type="dxa" w:w="100"/>
              <w:bottom w:type="dxa" w:w="80"/>
              <w:right w:type="dxa" w:w="100"/>
            </w:tcMar>
          </w:tcPr>
          <w:p>
            <w:pPr>
              <w:spacing w:after="0" w:line="275"/>
              <w:jc w:val="center"/>
            </w:pPr>
            <w:r>
              <w:rPr>
                <w:rFonts w:ascii="Arial" w:cs="Arial" w:eastAsia="Arial" w:hAnsi="Arial"/>
                <w:b/>
                <w:bCs/>
                <w:sz w:val="19"/>
                <w:szCs w:val="19"/>
              </w:rPr>
              <w:t xml:space="preserve">Qué se evalúa</w:t>
            </w:r>
          </w:p>
        </w:tc>
      </w:tr>
      <w:tr>
        <w:tc>
          <w:tcPr>
            <w:tcW w:type="dxa" w:w="3600"/>
            <w:tcMar>
              <w:top w:type="dxa" w:w="80"/>
              <w:left w:type="dxa" w:w="100"/>
              <w:bottom w:type="dxa" w:w="80"/>
              <w:right w:type="dxa" w:w="100"/>
            </w:tcMar>
          </w:tcPr>
          <w:p>
            <w:pPr>
              <w:spacing w:after="0" w:line="275"/>
              <w:jc w:val="left"/>
            </w:pPr>
            <w:r>
              <w:rPr>
                <w:rFonts w:ascii="Arial" w:cs="Arial" w:eastAsia="Arial" w:hAnsi="Arial"/>
                <w:b/>
                <w:bCs/>
                <w:sz w:val="19"/>
                <w:szCs w:val="19"/>
              </w:rPr>
              <w:t xml:space="preserve">Pertinencia y formulación del problema</w:t>
            </w:r>
          </w:p>
        </w:tc>
        <w:tc>
          <w:tcPr>
            <w:tcW w:type="dxa" w:w="12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15%</w:t>
            </w:r>
          </w:p>
        </w:tc>
        <w:tc>
          <w:tcPr>
            <w:tcW w:type="dxa" w:w="45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Si el problema es real, concreto y del ámbito de responsabilidad del equipo, y si está formulado con la precisión suficiente para poder resolverse.</w:t>
            </w:r>
          </w:p>
        </w:tc>
      </w:tr>
      <w:tr>
        <w:tc>
          <w:tcPr>
            <w:tcW w:type="dxa" w:w="3600"/>
            <w:tcMar>
              <w:top w:type="dxa" w:w="80"/>
              <w:left w:type="dxa" w:w="100"/>
              <w:bottom w:type="dxa" w:w="80"/>
              <w:right w:type="dxa" w:w="100"/>
            </w:tcMar>
          </w:tcPr>
          <w:p>
            <w:pPr>
              <w:spacing w:after="0" w:line="275"/>
              <w:jc w:val="left"/>
            </w:pPr>
            <w:r>
              <w:rPr>
                <w:rFonts w:ascii="Arial" w:cs="Arial" w:eastAsia="Arial" w:hAnsi="Arial"/>
                <w:b/>
                <w:bCs/>
                <w:sz w:val="19"/>
                <w:szCs w:val="19"/>
              </w:rPr>
              <w:t xml:space="preserve">Solidez metodológica y trazabilidad</w:t>
            </w:r>
          </w:p>
        </w:tc>
        <w:tc>
          <w:tcPr>
            <w:tcW w:type="dxa" w:w="12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30%</w:t>
            </w:r>
          </w:p>
        </w:tc>
        <w:tc>
          <w:tcPr>
            <w:tcW w:type="dxa" w:w="45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Si el procedimiento está documentado, si otra persona podría reproducirlo, y si cada afirmación del producto puede rastrearse hasta su fuente.</w:t>
            </w:r>
          </w:p>
        </w:tc>
      </w:tr>
      <w:tr>
        <w:tc>
          <w:tcPr>
            <w:tcW w:type="dxa" w:w="3600"/>
            <w:tcMar>
              <w:top w:type="dxa" w:w="80"/>
              <w:left w:type="dxa" w:w="100"/>
              <w:bottom w:type="dxa" w:w="80"/>
              <w:right w:type="dxa" w:w="100"/>
            </w:tcMar>
          </w:tcPr>
          <w:p>
            <w:pPr>
              <w:spacing w:after="0" w:line="275"/>
              <w:jc w:val="left"/>
            </w:pPr>
            <w:r>
              <w:rPr>
                <w:rFonts w:ascii="Arial" w:cs="Arial" w:eastAsia="Arial" w:hAnsi="Arial"/>
                <w:b/>
                <w:bCs/>
                <w:sz w:val="19"/>
                <w:szCs w:val="19"/>
              </w:rPr>
              <w:t xml:space="preserve">Calidad del artefacto</w:t>
            </w:r>
          </w:p>
        </w:tc>
        <w:tc>
          <w:tcPr>
            <w:tcW w:type="dxa" w:w="12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25%</w:t>
            </w:r>
          </w:p>
        </w:tc>
        <w:tc>
          <w:tcPr>
            <w:tcW w:type="dxa" w:w="45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Si el producto entregado funciona, es utilizable en el trabajo real del equipo y está terminado.</w:t>
            </w:r>
          </w:p>
        </w:tc>
      </w:tr>
      <w:tr>
        <w:tc>
          <w:tcPr>
            <w:tcW w:type="dxa" w:w="3600"/>
            <w:tcMar>
              <w:top w:type="dxa" w:w="80"/>
              <w:left w:type="dxa" w:w="100"/>
              <w:bottom w:type="dxa" w:w="80"/>
              <w:right w:type="dxa" w:w="100"/>
            </w:tcMar>
          </w:tcPr>
          <w:p>
            <w:pPr>
              <w:spacing w:after="0" w:line="275"/>
              <w:jc w:val="left"/>
            </w:pPr>
            <w:r>
              <w:rPr>
                <w:rFonts w:ascii="Arial" w:cs="Arial" w:eastAsia="Arial" w:hAnsi="Arial"/>
                <w:b/>
                <w:bCs/>
                <w:sz w:val="19"/>
                <w:szCs w:val="19"/>
              </w:rPr>
              <w:t xml:space="preserve">Justificación técnica y limitaciones</w:t>
            </w:r>
          </w:p>
        </w:tc>
        <w:tc>
          <w:tcPr>
            <w:tcW w:type="dxa" w:w="12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20%</w:t>
            </w:r>
          </w:p>
        </w:tc>
        <w:tc>
          <w:tcPr>
            <w:tcW w:type="dxa" w:w="45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Si el equipo sabe explicar por qué usó lo que usó, qué no puede hacer su solución y qué riesgos tiene. Se evalúa principalmente en la nota técnica.</w:t>
            </w:r>
          </w:p>
        </w:tc>
      </w:tr>
      <w:tr>
        <w:tc>
          <w:tcPr>
            <w:tcW w:type="dxa" w:w="3600"/>
            <w:tcMar>
              <w:top w:type="dxa" w:w="80"/>
              <w:left w:type="dxa" w:w="100"/>
              <w:bottom w:type="dxa" w:w="80"/>
              <w:right w:type="dxa" w:w="100"/>
            </w:tcMar>
          </w:tcPr>
          <w:p>
            <w:pPr>
              <w:spacing w:after="0" w:line="275"/>
              <w:jc w:val="left"/>
            </w:pPr>
            <w:r>
              <w:rPr>
                <w:rFonts w:ascii="Arial" w:cs="Arial" w:eastAsia="Arial" w:hAnsi="Arial"/>
                <w:b/>
                <w:bCs/>
                <w:sz w:val="19"/>
                <w:szCs w:val="19"/>
              </w:rPr>
              <w:t xml:space="preserve">Presentación y coevaluación</w:t>
            </w:r>
          </w:p>
        </w:tc>
        <w:tc>
          <w:tcPr>
            <w:tcW w:type="dxa" w:w="120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10%</w:t>
            </w:r>
          </w:p>
        </w:tc>
        <w:tc>
          <w:tcPr>
            <w:tcW w:type="dxa" w:w="4560"/>
            <w:tcMar>
              <w:top w:type="dxa" w:w="80"/>
              <w:left w:type="dxa" w:w="100"/>
              <w:bottom w:type="dxa" w:w="80"/>
              <w:right w:type="dxa" w:w="100"/>
            </w:tcMar>
          </w:tcPr>
          <w:p>
            <w:pPr>
              <w:spacing w:after="0" w:line="275"/>
              <w:jc w:val="left"/>
            </w:pPr>
            <w:r>
              <w:rPr>
                <w:rFonts w:ascii="Arial" w:cs="Arial" w:eastAsia="Arial" w:hAnsi="Arial"/>
                <w:b w:val="false"/>
                <w:bCs w:val="false"/>
                <w:sz w:val="19"/>
                <w:szCs w:val="19"/>
              </w:rPr>
              <w:t xml:space="preserve">Claridad de la comunicación de resultados y calidad de la retroalimentación que el equipo da a los demás.</w:t>
            </w:r>
          </w:p>
        </w:tc>
      </w:tr>
    </w:tbl>
    <w:p>
      <w:pPr>
        <w:spacing w:after="130" w:line="290"/>
        <w:jc w:val="both"/>
      </w:pPr>
      <w:r>
        <w:rPr>
          <w:rFonts w:ascii="Arial" w:cs="Arial" w:eastAsia="Arial" w:hAnsi="Arial"/>
          <w:b w:val="false"/>
          <w:bCs w:val="false"/>
          <w:i w:val="false"/>
          <w:iCs w:val="false"/>
          <w:sz w:val="21"/>
          <w:szCs w:val="21"/>
        </w:rPr>
        <w:t xml:space="preserve">La rúbrica completa, con los niveles de desempeño de cada criterio, se entrega a los participantes en la primera sesión. Se propone que la evaluación del último criterio se construya con la participación de los propios equipos, conforme a la coevaluación comprometida en el anexo.</w:t>
      </w:r>
    </w:p>
    <w:p>
      <w:pPr>
        <w:pStyle w:val="Heading1"/>
        <w:spacing w:after="150" w:before="300"/>
      </w:pPr>
      <w:r>
        <w:rPr>
          <w:rFonts w:ascii="Arial" w:cs="Arial" w:eastAsia="Arial" w:hAnsi="Arial"/>
          <w:b/>
          <w:bCs/>
          <w:color w:val="1F3864"/>
          <w:sz w:val="28"/>
          <w:szCs w:val="28"/>
        </w:rPr>
        <w:t xml:space="preserve">8. Lo que se solicita al área usuaria</w:t>
      </w:r>
    </w:p>
    <w:p>
      <w:pPr>
        <w:spacing w:after="130" w:line="290"/>
        <w:jc w:val="both"/>
      </w:pPr>
      <w:r>
        <w:rPr>
          <w:rFonts w:ascii="Arial" w:cs="Arial" w:eastAsia="Arial" w:hAnsi="Arial"/>
          <w:b w:val="false"/>
          <w:bCs w:val="false"/>
          <w:i w:val="false"/>
          <w:iCs w:val="false"/>
          <w:sz w:val="21"/>
          <w:szCs w:val="21"/>
        </w:rPr>
        <w:t xml:space="preserve">Para cerrar el diseño del proyecto se requieren cuatro definiciones.</w:t>
      </w:r>
    </w:p>
    <w:p>
      <w:pPr>
        <w:spacing w:after="100" w:line="285"/>
        <w:ind w:left="560" w:hanging="280"/>
        <w:jc w:val="both"/>
      </w:pPr>
      <w:r>
        <w:rPr>
          <w:rFonts w:ascii="Arial" w:cs="Arial" w:eastAsia="Arial" w:hAnsi="Arial"/>
          <w:sz w:val="21"/>
          <w:szCs w:val="21"/>
        </w:rPr>
        <w:t xml:space="preserve">Primera. Si los equipos se conforman por área de adscripción o de manera mezclada.</w:t>
      </w:r>
    </w:p>
    <w:p>
      <w:pPr>
        <w:spacing w:after="100" w:line="285"/>
        <w:ind w:left="560" w:hanging="280"/>
        <w:jc w:val="both"/>
      </w:pPr>
      <w:r>
        <w:rPr>
          <w:rFonts w:ascii="Arial" w:cs="Arial" w:eastAsia="Arial" w:hAnsi="Arial"/>
          <w:sz w:val="21"/>
          <w:szCs w:val="21"/>
        </w:rPr>
        <w:t xml:space="preserve">Segunda. Si el Instituto puede proporcionar información propia, aunque sea pública, sobre la cual los equipos desarrollen sus proyectos. Los proyectos construidos sobre material del propio Instituto son sustancialmente más útiles que los construidos sobre material genérico.</w:t>
      </w:r>
    </w:p>
    <w:p>
      <w:pPr>
        <w:spacing w:after="100" w:line="285"/>
        <w:ind w:left="560" w:hanging="280"/>
        <w:jc w:val="both"/>
      </w:pPr>
      <w:r>
        <w:rPr>
          <w:rFonts w:ascii="Arial" w:cs="Arial" w:eastAsia="Arial" w:hAnsi="Arial"/>
          <w:sz w:val="21"/>
          <w:szCs w:val="21"/>
        </w:rPr>
        <w:t xml:space="preserve">Tercera. Confirmación o ajuste de la regla de manejo de información de la sección 5, idealmente con revisión del área competente.</w:t>
      </w:r>
    </w:p>
    <w:p>
      <w:pPr>
        <w:spacing w:after="100" w:line="285"/>
        <w:ind w:left="560" w:hanging="280"/>
        <w:jc w:val="both"/>
      </w:pPr>
      <w:r>
        <w:rPr>
          <w:rFonts w:ascii="Arial" w:cs="Arial" w:eastAsia="Arial" w:hAnsi="Arial"/>
          <w:sz w:val="21"/>
          <w:szCs w:val="21"/>
        </w:rPr>
        <w:t xml:space="preserve">Cuarta. Si el área usuaria desea que los proyectos finales se entreguen como documento formal al Instituto, además de la presentación, y en qué formato.</w:t>
      </w:r>
    </w:p>
    <w:p>
      <w:pPr>
        <w:spacing w:after="130" w:line="290"/>
        <w:jc w:val="both"/>
      </w:pPr>
      <w:r>
        <w:rPr>
          <w:rFonts w:ascii="Arial" w:cs="Arial" w:eastAsia="Arial" w:hAnsi="Arial"/>
          <w:b w:val="false"/>
          <w:bCs w:val="false"/>
          <w:i w:val="false"/>
          <w:iCs w:val="false"/>
          <w:sz w:val="21"/>
          <w:szCs w:val="21"/>
        </w:rPr>
        <w:t xml:space="preserve">Se sugiere resolver la primera definición antes del 15 de septiembre, porque los equipos se conforman en la segunda sesión, y la tercera antes del 14 de septiembre, porque la regla de manejo de información se presenta en la primera.</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Propuesta de Proyecto Integrador. Curso de Inteligencia Artificial Aplicada. INEGI 2026. Página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2026-09-12T04:39:41.547Z</dcterms:created>
  <dcterms:modified xsi:type="dcterms:W3CDTF">2026-09-12T04:39:41.555Z</dcterms:modified>
</cp:coreProperties>
</file>

<file path=docProps/custom.xml><?xml version="1.0" encoding="utf-8"?>
<Properties xmlns="http://schemas.openxmlformats.org/officeDocument/2006/custom-properties" xmlns:vt="http://schemas.openxmlformats.org/officeDocument/2006/docPropsVTypes"/>
</file>