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D7D"/>
          <w:spacing w:val="60"/>
          <w:sz w:val="18"/>
          <w:szCs w:val="18"/>
        </w:rPr>
        <w:t xml:space="preserve">SESIÓN 1</w:t>
      </w:r>
    </w:p>
    <w:p>
      <w:pPr>
        <w:spacing w:after="60"/>
      </w:pPr>
      <w:r>
        <w:rPr>
          <w:rFonts w:ascii="Arial" w:cs="Arial" w:eastAsia="Arial" w:hAnsi="Arial"/>
          <w:b/>
          <w:bCs/>
          <w:color w:val="16262E"/>
          <w:sz w:val="38"/>
          <w:szCs w:val="38"/>
        </w:rPr>
        <w:t xml:space="preserve">Introducción a la IA generativa</w:t>
      </w:r>
    </w:p>
    <w:p>
      <w:pPr>
        <w:spacing w:after="300"/>
      </w:pPr>
      <w:r>
        <w:rPr>
          <w:rFonts w:ascii="Arial" w:cs="Arial" w:eastAsia="Arial" w:hAnsi="Arial"/>
          <w:color w:val="5A6B73"/>
          <w:sz w:val="20"/>
          <w:szCs w:val="20"/>
        </w:rPr>
        <w:t xml:space="preserve">Lunes 14 de septiembre de 2026. Hoja de trabajo para quedarte.</w:t>
      </w:r>
    </w:p>
    <w:p>
      <w:pPr>
        <w:spacing w:after="120" w:line="285"/>
        <w:jc w:val="both"/>
      </w:pPr>
      <w:r>
        <w:rPr>
          <w:rFonts w:ascii="Arial" w:cs="Arial" w:eastAsia="Arial" w:hAnsi="Arial"/>
          <w:b w:val="false"/>
          <w:bCs w:val="false"/>
          <w:i w:val="false"/>
          <w:iCs w:val="false"/>
          <w:sz w:val="21"/>
          <w:szCs w:val="21"/>
        </w:rPr>
        <w:t xml:space="preserve">Esta hoja tiene lo que necesitas recordar de la sesión, los ejercicios que hiciste y lo que entregas. No tienes que tomar apuntes de las láminas: están en el repositorio del curso.</w:t>
      </w:r>
    </w:p>
    <w:p>
      <w:pPr>
        <w:spacing w:after="120" w:line="285"/>
        <w:jc w:val="both"/>
      </w:pPr>
      <w:r>
        <w:rPr>
          <w:rFonts w:ascii="Arial" w:cs="Arial" w:eastAsia="Arial" w:hAnsi="Arial"/>
          <w:b/>
          <w:bCs/>
          <w:i w:val="false"/>
          <w:iCs w:val="false"/>
          <w:sz w:val="21"/>
          <w:szCs w:val="21"/>
        </w:rPr>
        <w:t xml:space="preserve">Repositorio del curso: github.com/xuxoramos/curso-inegi-gen-ai</w:t>
      </w:r>
    </w:p>
    <w:p>
      <w:pPr>
        <w:pStyle w:val="Heading1"/>
        <w:spacing w:after="140" w:before="300"/>
      </w:pPr>
      <w:r>
        <w:rPr>
          <w:rFonts w:ascii="Arial" w:cs="Arial" w:eastAsia="Arial" w:hAnsi="Arial"/>
          <w:b/>
          <w:bCs/>
          <w:color w:val="16262E"/>
          <w:sz w:val="27"/>
          <w:szCs w:val="27"/>
        </w:rPr>
        <w:t xml:space="preserve">1. Lo que hay que quedarse de hoy</w:t>
      </w:r>
    </w:p>
    <w:p>
      <w:pPr>
        <w:pStyle w:val="Heading2"/>
        <w:spacing w:after="100" w:before="240"/>
      </w:pPr>
      <w:r>
        <w:rPr>
          <w:rFonts w:ascii="Arial" w:cs="Arial" w:eastAsia="Arial" w:hAnsi="Arial"/>
          <w:b/>
          <w:bCs/>
          <w:color w:val="2E7D7D"/>
          <w:sz w:val="22"/>
          <w:szCs w:val="22"/>
        </w:rPr>
        <w:t xml:space="preserve">Qué es un modelo de lenguaje</w:t>
      </w:r>
    </w:p>
    <w:p>
      <w:pPr>
        <w:spacing w:after="120" w:line="285"/>
        <w:jc w:val="both"/>
      </w:pPr>
      <w:r>
        <w:rPr>
          <w:rFonts w:ascii="Arial" w:cs="Arial" w:eastAsia="Arial" w:hAnsi="Arial"/>
          <w:b w:val="false"/>
          <w:bCs w:val="false"/>
          <w:i w:val="false"/>
          <w:iCs w:val="false"/>
          <w:sz w:val="21"/>
          <w:szCs w:val="21"/>
        </w:rPr>
        <w:t xml:space="preserve">Predice cuál es la siguiente palabra más probable a partir de todo lo que ya vio. Es muy bueno produciendo texto que suena correcto, porque eso es exactamente lo que hace. No tiene forma de saber si además es cierto.</w:t>
      </w:r>
    </w:p>
    <w:p>
      <w:pPr>
        <w:spacing w:after="120" w:line="285"/>
        <w:jc w:val="both"/>
      </w:pPr>
      <w:r>
        <w:rPr>
          <w:rFonts w:ascii="Arial" w:cs="Arial" w:eastAsia="Arial" w:hAnsi="Arial"/>
          <w:b w:val="false"/>
          <w:bCs w:val="false"/>
          <w:i w:val="false"/>
          <w:iCs w:val="false"/>
          <w:sz w:val="21"/>
          <w:szCs w:val="21"/>
        </w:rPr>
        <w:t xml:space="preserve">Lo que ya haces con regresiones, clasificadores o métodos de emparejamiento no está fuera de la inteligencia artificial: está en el anillo del aprendizaje automático. Los modelos de lenguaje son el anillo de adentro, el más reciente, y el único que trabaja con lenguaje.</w:t>
      </w:r>
    </w:p>
    <w:p>
      <w:pPr>
        <w:pStyle w:val="Heading2"/>
        <w:spacing w:after="100" w:before="240"/>
      </w:pPr>
      <w:r>
        <w:rPr>
          <w:rFonts w:ascii="Arial" w:cs="Arial" w:eastAsia="Arial" w:hAnsi="Arial"/>
          <w:b/>
          <w:bCs/>
          <w:color w:val="2E7D7D"/>
          <w:sz w:val="22"/>
          <w:szCs w:val="22"/>
        </w:rPr>
        <w:t xml:space="preserve">Las tres lecciones de las demostraciones</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500"/>
        <w:gridCol w:w="6860"/>
      </w:tblGrid>
      <w:tr>
        <w:trPr>
          <w:tblHeader/>
        </w:trPr>
        <w:tc>
          <w:tcPr>
            <w:tcW w:type="dxa" w:w="25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Lo que viste</w:t>
            </w:r>
          </w:p>
        </w:tc>
        <w:tc>
          <w:tcPr>
            <w:tcW w:type="dxa" w:w="68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Lo que significa para tu trabajo</w:t>
            </w:r>
          </w:p>
        </w:tc>
      </w:tr>
      <w:tr>
        <w:tc>
          <w:tcPr>
            <w:tcW w:type="dxa" w:w="2500"/>
            <w:tcMar>
              <w:top w:type="dxa" w:w="80"/>
              <w:left w:type="dxa" w:w="100"/>
              <w:bottom w:type="dxa" w:w="80"/>
              <w:right w:type="dxa" w:w="100"/>
            </w:tcMar>
          </w:tcPr>
          <w:p>
            <w:pPr>
              <w:spacing w:after="0" w:line="275"/>
            </w:pPr>
            <w:r>
              <w:rPr>
                <w:rFonts w:ascii="Arial" w:cs="Arial" w:eastAsia="Arial" w:hAnsi="Arial"/>
                <w:b/>
                <w:bCs/>
                <w:sz w:val="19"/>
                <w:szCs w:val="19"/>
              </w:rPr>
              <w:t xml:space="preserve">No repite</w:t>
            </w:r>
          </w:p>
        </w:tc>
        <w:tc>
          <w:tcPr>
            <w:tcW w:type="dxa" w:w="68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El mismo prompt te da respuestas distintas. No puedes reproducir un resultado solo con volver a preguntar. Por eso llevas bitácora.</w:t>
            </w:r>
          </w:p>
        </w:tc>
      </w:tr>
      <w:tr>
        <w:tc>
          <w:tcPr>
            <w:tcW w:type="dxa" w:w="2500"/>
            <w:tcMar>
              <w:top w:type="dxa" w:w="80"/>
              <w:left w:type="dxa" w:w="100"/>
              <w:bottom w:type="dxa" w:w="80"/>
              <w:right w:type="dxa" w:w="100"/>
            </w:tcMar>
          </w:tcPr>
          <w:p>
            <w:pPr>
              <w:spacing w:after="0" w:line="275"/>
            </w:pPr>
            <w:r>
              <w:rPr>
                <w:rFonts w:ascii="Arial" w:cs="Arial" w:eastAsia="Arial" w:hAnsi="Arial"/>
                <w:b/>
                <w:bCs/>
                <w:sz w:val="19"/>
                <w:szCs w:val="19"/>
              </w:rPr>
              <w:t xml:space="preserve">No calcula</w:t>
            </w:r>
          </w:p>
        </w:tc>
        <w:tc>
          <w:tcPr>
            <w:tcW w:type="dxa" w:w="68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Escribe algo que se parece a un cálculo. Cualquier cifra que te dé, la compruebas. El cálculo de verdad empieza en el Módulo III.</w:t>
            </w:r>
          </w:p>
        </w:tc>
      </w:tr>
      <w:tr>
        <w:tc>
          <w:tcPr>
            <w:tcW w:type="dxa" w:w="2500"/>
            <w:tcMar>
              <w:top w:type="dxa" w:w="80"/>
              <w:left w:type="dxa" w:w="100"/>
              <w:bottom w:type="dxa" w:w="80"/>
              <w:right w:type="dxa" w:w="100"/>
            </w:tcMar>
          </w:tcPr>
          <w:p>
            <w:pPr>
              <w:spacing w:after="0" w:line="275"/>
            </w:pPr>
            <w:r>
              <w:rPr>
                <w:rFonts w:ascii="Arial" w:cs="Arial" w:eastAsia="Arial" w:hAnsi="Arial"/>
                <w:b/>
                <w:bCs/>
                <w:sz w:val="19"/>
                <w:szCs w:val="19"/>
              </w:rPr>
              <w:t xml:space="preserve">Inventa con seguridad</w:t>
            </w:r>
          </w:p>
        </w:tc>
        <w:tc>
          <w:tcPr>
            <w:tcW w:type="dxa" w:w="68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Escribe lo que suena creíble, no lo que es cierto. Las referencias que te dé pueden no existir. Verifícalas siempre.</w:t>
            </w:r>
          </w:p>
        </w:tc>
      </w:tr>
    </w:tbl>
    <w:p>
      <w:pPr>
        <w:pStyle w:val="Heading1"/>
        <w:spacing w:after="140" w:before="300"/>
      </w:pPr>
      <w:r>
        <w:rPr>
          <w:rFonts w:ascii="Arial" w:cs="Arial" w:eastAsia="Arial" w:hAnsi="Arial"/>
          <w:b/>
          <w:bCs/>
          <w:color w:val="16262E"/>
          <w:sz w:val="27"/>
          <w:szCs w:val="27"/>
        </w:rPr>
        <w:t xml:space="preserve">2. Los tres principios del uso ético</w:t>
      </w:r>
    </w:p>
    <w:p>
      <w:pPr>
        <w:spacing w:after="120" w:line="285"/>
        <w:jc w:val="both"/>
      </w:pPr>
      <w:r>
        <w:rPr>
          <w:rFonts w:ascii="Arial" w:cs="Arial" w:eastAsia="Arial" w:hAnsi="Arial"/>
          <w:b w:val="false"/>
          <w:bCs w:val="false"/>
          <w:i w:val="false"/>
          <w:iCs w:val="false"/>
          <w:sz w:val="21"/>
          <w:szCs w:val="21"/>
        </w:rPr>
        <w:t xml:space="preserve">En una empresa son buenas prácticas. Aquí son obligaciones, porque tu producto sostiene decisiones públicas.</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200"/>
        <w:gridCol w:w="3400"/>
        <w:gridCol w:w="3760"/>
      </w:tblGrid>
      <w:tr>
        <w:trPr>
          <w:tblHeader/>
        </w:trPr>
        <w:tc>
          <w:tcPr>
            <w:tcW w:type="dxa" w:w="22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Principio</w:t>
            </w:r>
          </w:p>
        </w:tc>
        <w:tc>
          <w:tcPr>
            <w:tcW w:type="dxa" w:w="34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significa</w:t>
            </w:r>
          </w:p>
        </w:tc>
        <w:tc>
          <w:tcPr>
            <w:tcW w:type="dxa" w:w="37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Cómo lo cumples</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Transparencia</w:t>
            </w:r>
          </w:p>
        </w:tc>
        <w:tc>
          <w:tcPr>
            <w:tcW w:type="dxa" w:w="34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Quien lee tu trabajo tiene derecho a saber que usaste IA y a que le expliques cómo llegaste al resultado.</w:t>
            </w:r>
          </w:p>
        </w:tc>
        <w:tc>
          <w:tcPr>
            <w:tcW w:type="dxa" w:w="3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Declaras el uso. Llevas bitácora. Guardas borradores. Pides que cada dato traiga la sección de donde salió.</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Gobierno de datos</w:t>
            </w:r>
          </w:p>
        </w:tc>
        <w:tc>
          <w:tcPr>
            <w:tcW w:type="dxa" w:w="34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Saber qué información entra a qué herramienta, bajo qué contrato, y quién responde si algo sale mal.</w:t>
            </w:r>
          </w:p>
        </w:tc>
        <w:tc>
          <w:tcPr>
            <w:tcW w:type="dxa" w:w="3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Clasificas con el semáforo. Lo interno solo en Copilot. Lo confidencial lo enmascaras primero. Apagas el entrenamiento.</w:t>
            </w:r>
          </w:p>
        </w:tc>
      </w:tr>
      <w:tr>
        <w:tc>
          <w:tcPr>
            <w:tcW w:type="dxa" w:w="2200"/>
            <w:tcMar>
              <w:top w:type="dxa" w:w="80"/>
              <w:left w:type="dxa" w:w="100"/>
              <w:bottom w:type="dxa" w:w="80"/>
              <w:right w:type="dxa" w:w="100"/>
            </w:tcMar>
          </w:tcPr>
          <w:p>
            <w:pPr>
              <w:spacing w:after="0" w:line="275"/>
            </w:pPr>
            <w:r>
              <w:rPr>
                <w:rFonts w:ascii="Arial" w:cs="Arial" w:eastAsia="Arial" w:hAnsi="Arial"/>
                <w:b/>
                <w:bCs/>
                <w:sz w:val="19"/>
                <w:szCs w:val="19"/>
              </w:rPr>
              <w:t xml:space="preserve">Disminución de sesgos</w:t>
            </w:r>
          </w:p>
        </w:tc>
        <w:tc>
          <w:tcPr>
            <w:tcW w:type="dxa" w:w="34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El modelo aprendió de textos que ya traían sesgos. En evaluación social eso cambia cómo queda descrita la gente.</w:t>
            </w:r>
          </w:p>
        </w:tc>
        <w:tc>
          <w:tcPr>
            <w:tcW w:type="dxa" w:w="3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No dejas que describa poblaciones. Revisas lo que clasificó como "otros". No pones tu conclusión en el prompt. Revisas lo peor redactado.</w:t>
            </w:r>
          </w:p>
        </w:tc>
      </w:tr>
    </w:tbl>
    <w:p>
      <w:pPr>
        <w:pStyle w:val="Heading2"/>
        <w:spacing w:after="100" w:before="240"/>
      </w:pPr>
      <w:r>
        <w:rPr>
          <w:rFonts w:ascii="Arial" w:cs="Arial" w:eastAsia="Arial" w:hAnsi="Arial"/>
          <w:b/>
          <w:bCs/>
          <w:color w:val="2E7D7D"/>
          <w:sz w:val="22"/>
          <w:szCs w:val="22"/>
        </w:rPr>
        <w:t xml:space="preserve">Los cuatro sesgos y cómo los disminuyes</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2000"/>
        <w:gridCol w:w="3600"/>
        <w:gridCol w:w="3760"/>
      </w:tblGrid>
      <w:tr>
        <w:trPr>
          <w:tblHeader/>
        </w:trPr>
        <w:tc>
          <w:tcPr>
            <w:tcW w:type="dxa" w:w="20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Sesgo</w:t>
            </w:r>
          </w:p>
        </w:tc>
        <w:tc>
          <w:tcPr>
            <w:tcW w:type="dxa" w:w="36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es</w:t>
            </w:r>
          </w:p>
        </w:tc>
        <w:tc>
          <w:tcPr>
            <w:tcW w:type="dxa" w:w="37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haces</w:t>
            </w:r>
          </w:p>
        </w:tc>
      </w:tr>
      <w:tr>
        <w:tc>
          <w:tcPr>
            <w:tcW w:type="dxa" w:w="2000"/>
            <w:tcMar>
              <w:top w:type="dxa" w:w="80"/>
              <w:left w:type="dxa" w:w="100"/>
              <w:bottom w:type="dxa" w:w="80"/>
              <w:right w:type="dxa" w:w="100"/>
            </w:tcMar>
          </w:tcPr>
          <w:p>
            <w:pPr>
              <w:spacing w:after="0" w:line="275"/>
            </w:pPr>
            <w:r>
              <w:rPr>
                <w:rFonts w:ascii="Arial" w:cs="Arial" w:eastAsia="Arial" w:hAnsi="Arial"/>
                <w:b/>
                <w:bCs/>
                <w:sz w:val="19"/>
                <w:szCs w:val="19"/>
              </w:rPr>
              <w:t xml:space="preserve">Representación</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Describe a un grupo con los supuestos que traía de sus datos, no con los tuyos.</w:t>
            </w:r>
          </w:p>
        </w:tc>
        <w:tc>
          <w:tcPr>
            <w:tcW w:type="dxa" w:w="3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No dejes que caracterice a una población. Que solo extraiga lo que dice el documento y contrasta contra tu padrón.</w:t>
            </w:r>
          </w:p>
        </w:tc>
      </w:tr>
      <w:tr>
        <w:tc>
          <w:tcPr>
            <w:tcW w:type="dxa" w:w="2000"/>
            <w:tcMar>
              <w:top w:type="dxa" w:w="80"/>
              <w:left w:type="dxa" w:w="100"/>
              <w:bottom w:type="dxa" w:w="80"/>
              <w:right w:type="dxa" w:w="100"/>
            </w:tcMar>
          </w:tcPr>
          <w:p>
            <w:pPr>
              <w:spacing w:after="0" w:line="275"/>
            </w:pPr>
            <w:r>
              <w:rPr>
                <w:rFonts w:ascii="Arial" w:cs="Arial" w:eastAsia="Arial" w:hAnsi="Arial"/>
                <w:b/>
                <w:bCs/>
                <w:sz w:val="19"/>
                <w:szCs w:val="19"/>
              </w:rPr>
              <w:t xml:space="preserve">Mayoría</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Arma las categorías con lo más repetido y manda el resto a una bolsa de "otros".</w:t>
            </w:r>
          </w:p>
        </w:tc>
        <w:tc>
          <w:tcPr>
            <w:tcW w:type="dxa" w:w="3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Revisa a mano todo lo que quedó en "otros". Y pregúntate si la variable que usas mide lo que crees.</w:t>
            </w:r>
          </w:p>
        </w:tc>
      </w:tr>
      <w:tr>
        <w:tc>
          <w:tcPr>
            <w:tcW w:type="dxa" w:w="2000"/>
            <w:tcMar>
              <w:top w:type="dxa" w:w="80"/>
              <w:left w:type="dxa" w:w="100"/>
              <w:bottom w:type="dxa" w:w="80"/>
              <w:right w:type="dxa" w:w="100"/>
            </w:tcMar>
          </w:tcPr>
          <w:p>
            <w:pPr>
              <w:spacing w:after="0" w:line="275"/>
            </w:pPr>
            <w:r>
              <w:rPr>
                <w:rFonts w:ascii="Arial" w:cs="Arial" w:eastAsia="Arial" w:hAnsi="Arial"/>
                <w:b/>
                <w:bCs/>
                <w:sz w:val="19"/>
                <w:szCs w:val="19"/>
              </w:rPr>
              <w:t xml:space="preserve">Complacencia</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Si tu instrucción trae la conclusión adentro, busca la evidencia que la confirma.</w:t>
            </w:r>
          </w:p>
        </w:tc>
        <w:tc>
          <w:tcPr>
            <w:tcW w:type="dxa" w:w="3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Nunca pongas tu conclusión en el prompt. Pide por separado la evidencia a favor y en contra.</w:t>
            </w:r>
          </w:p>
        </w:tc>
      </w:tr>
      <w:tr>
        <w:tc>
          <w:tcPr>
            <w:tcW w:type="dxa" w:w="2000"/>
            <w:tcMar>
              <w:top w:type="dxa" w:w="80"/>
              <w:left w:type="dxa" w:w="100"/>
              <w:bottom w:type="dxa" w:w="80"/>
              <w:right w:type="dxa" w:w="100"/>
            </w:tcMar>
          </w:tcPr>
          <w:p>
            <w:pPr>
              <w:spacing w:after="0" w:line="275"/>
            </w:pPr>
            <w:r>
              <w:rPr>
                <w:rFonts w:ascii="Arial" w:cs="Arial" w:eastAsia="Arial" w:hAnsi="Arial"/>
                <w:b/>
                <w:bCs/>
                <w:sz w:val="19"/>
                <w:szCs w:val="19"/>
              </w:rPr>
              <w:t xml:space="preserve">Lingüístico</w:t>
            </w:r>
          </w:p>
        </w:tc>
        <w:tc>
          <w:tcPr>
            <w:tcW w:type="dxa" w:w="36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Funciona peor con variantes regionales, textos mal escritos y lenguas indígenas.</w:t>
            </w:r>
          </w:p>
        </w:tc>
        <w:tc>
          <w:tcPr>
            <w:tcW w:type="dxa" w:w="37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Saca una muestra de los registros peor redactados y revisa a mano cómo los clasificó.</w:t>
            </w:r>
          </w:p>
        </w:tc>
      </w:tr>
    </w:tbl>
    <w:p>
      <w:pPr>
        <w:spacing w:after="200"/>
      </w:pP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9360"/>
      </w:tblGrid>
      <w:tr>
        <w:tc>
          <w:tcPr>
            <w:tcW w:type="dxa" w:w="9360"/>
            <w:shd w:fill="F7E4D8" w:color="auto" w:val="clear"/>
            <w:tcMar>
              <w:top w:type="dxa" w:w="120"/>
              <w:left w:type="dxa" w:w="160"/>
              <w:bottom w:type="dxa" w:w="120"/>
              <w:right w:type="dxa" w:w="160"/>
            </w:tcMar>
          </w:tcPr>
          <w:p>
            <w:pPr>
              <w:spacing w:after="80"/>
            </w:pPr>
            <w:r>
              <w:rPr>
                <w:rFonts w:ascii="Arial" w:cs="Arial" w:eastAsia="Arial" w:hAnsi="Arial"/>
                <w:b/>
                <w:bCs/>
                <w:sz w:val="21"/>
                <w:szCs w:val="21"/>
              </w:rPr>
              <w:t xml:space="preserve">La regla que resume el bloque</w:t>
            </w:r>
          </w:p>
          <w:p>
            <w:pPr>
              <w:spacing w:after="60" w:line="275"/>
              <w:jc w:val="both"/>
            </w:pPr>
            <w:r>
              <w:rPr>
                <w:rFonts w:ascii="Arial" w:cs="Arial" w:eastAsia="Arial" w:hAnsi="Arial"/>
                <w:sz w:val="20"/>
                <w:szCs w:val="20"/>
              </w:rPr>
              <w:t xml:space="preserve">En los cuatro casos reales que viste hubo un sistema que funcionaba bien para la mayoría y mal para alguien.</w:t>
            </w:r>
          </w:p>
          <w:p>
            <w:pPr>
              <w:spacing w:after="60" w:line="275"/>
              <w:jc w:val="both"/>
            </w:pPr>
            <w:r>
              <w:rPr>
                <w:rFonts w:ascii="Arial" w:cs="Arial" w:eastAsia="Arial" w:hAnsi="Arial"/>
                <w:sz w:val="20"/>
                <w:szCs w:val="20"/>
              </w:rPr>
              <w:t xml:space="preserve">Y en ninguno de los cuatro alguien revisó a tiempo. Ese alguien es el puesto que tú ocupas.</w:t>
            </w:r>
          </w:p>
        </w:tc>
      </w:tr>
    </w:tbl>
    <w:p>
      <w:pPr>
        <w:pStyle w:val="Heading1"/>
        <w:spacing w:after="140" w:before="300"/>
      </w:pPr>
      <w:r>
        <w:rPr>
          <w:rFonts w:ascii="Arial" w:cs="Arial" w:eastAsia="Arial" w:hAnsi="Arial"/>
          <w:b/>
          <w:bCs/>
          <w:color w:val="16262E"/>
          <w:sz w:val="27"/>
          <w:szCs w:val="27"/>
        </w:rPr>
        <w:t xml:space="preserve">3. El semáforo de datos</w:t>
      </w:r>
    </w:p>
    <w:p>
      <w:pPr>
        <w:spacing w:after="120" w:line="285"/>
        <w:jc w:val="both"/>
      </w:pPr>
      <w:r>
        <w:rPr>
          <w:rFonts w:ascii="Arial" w:cs="Arial" w:eastAsia="Arial" w:hAnsi="Arial"/>
          <w:b w:val="false"/>
          <w:bCs w:val="false"/>
          <w:i w:val="false"/>
          <w:iCs w:val="false"/>
          <w:sz w:val="21"/>
          <w:szCs w:val="21"/>
        </w:rPr>
        <w:t xml:space="preserve">Antes de pegar cualquier cosa en una herramienta de IA, clasifícala. Es la regla más importante del curso.</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1900"/>
        <w:gridCol w:w="4200"/>
        <w:gridCol w:w="3260"/>
      </w:tblGrid>
      <w:tr>
        <w:trPr>
          <w:tblHeader/>
        </w:trPr>
        <w:tc>
          <w:tcPr>
            <w:tcW w:type="dxa" w:w="19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Color</w:t>
            </w:r>
          </w:p>
        </w:tc>
        <w:tc>
          <w:tcPr>
            <w:tcW w:type="dxa" w:w="42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 incluye</w:t>
            </w:r>
          </w:p>
        </w:tc>
        <w:tc>
          <w:tcPr>
            <w:tcW w:type="dxa" w:w="32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Dónde lo puedes usar</w:t>
            </w:r>
          </w:p>
        </w:tc>
      </w:tr>
      <w:tr>
        <w:tc>
          <w:tcPr>
            <w:tcW w:type="dxa" w:w="1900"/>
            <w:tcMar>
              <w:top w:type="dxa" w:w="80"/>
              <w:left w:type="dxa" w:w="100"/>
              <w:bottom w:type="dxa" w:w="80"/>
              <w:right w:type="dxa" w:w="100"/>
            </w:tcMar>
          </w:tcPr>
          <w:p>
            <w:pPr>
              <w:spacing w:after="0" w:line="275"/>
            </w:pPr>
            <w:r>
              <w:rPr>
                <w:rFonts w:ascii="Arial" w:cs="Arial" w:eastAsia="Arial" w:hAnsi="Arial"/>
                <w:b/>
                <w:bCs/>
                <w:sz w:val="19"/>
                <w:szCs w:val="19"/>
              </w:rPr>
              <w:t xml:space="preserve">Verde</w:t>
            </w:r>
          </w:p>
        </w:tc>
        <w:tc>
          <w:tcPr>
            <w:tcW w:type="dxa" w:w="42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Reglas de operación del Diario Oficial, informes publicados, normatividad, microdatos públicos anonimizados.</w:t>
            </w:r>
          </w:p>
        </w:tc>
        <w:tc>
          <w:tcPr>
            <w:tcW w:type="dxa" w:w="32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En cualquier herramienta del curso.</w:t>
            </w:r>
          </w:p>
        </w:tc>
      </w:tr>
      <w:tr>
        <w:tc>
          <w:tcPr>
            <w:tcW w:type="dxa" w:w="1900"/>
            <w:tcMar>
              <w:top w:type="dxa" w:w="80"/>
              <w:left w:type="dxa" w:w="100"/>
              <w:bottom w:type="dxa" w:w="80"/>
              <w:right w:type="dxa" w:w="100"/>
            </w:tcMar>
          </w:tcPr>
          <w:p>
            <w:pPr>
              <w:spacing w:after="0" w:line="275"/>
            </w:pPr>
            <w:r>
              <w:rPr>
                <w:rFonts w:ascii="Arial" w:cs="Arial" w:eastAsia="Arial" w:hAnsi="Arial"/>
                <w:b/>
                <w:bCs/>
                <w:sz w:val="19"/>
                <w:szCs w:val="19"/>
              </w:rPr>
              <w:t xml:space="preserve">Amarillo</w:t>
            </w:r>
          </w:p>
        </w:tc>
        <w:tc>
          <w:tcPr>
            <w:tcW w:type="dxa" w:w="42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Borradores, minutas, notas y análisis preliminares, sin datos personales ni información reservada.</w:t>
            </w:r>
          </w:p>
        </w:tc>
        <w:tc>
          <w:tcPr>
            <w:tcW w:type="dxa" w:w="32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Solo en Microsoft 365 Copilot, que es la única con contrato del Instituto.</w:t>
            </w:r>
          </w:p>
        </w:tc>
      </w:tr>
      <w:tr>
        <w:tc>
          <w:tcPr>
            <w:tcW w:type="dxa" w:w="1900"/>
            <w:tcMar>
              <w:top w:type="dxa" w:w="80"/>
              <w:left w:type="dxa" w:w="100"/>
              <w:bottom w:type="dxa" w:w="80"/>
              <w:right w:type="dxa" w:w="100"/>
            </w:tcMar>
          </w:tcPr>
          <w:p>
            <w:pPr>
              <w:spacing w:after="0" w:line="275"/>
            </w:pPr>
            <w:r>
              <w:rPr>
                <w:rFonts w:ascii="Arial" w:cs="Arial" w:eastAsia="Arial" w:hAnsi="Arial"/>
                <w:b/>
                <w:bCs/>
                <w:sz w:val="19"/>
                <w:szCs w:val="19"/>
              </w:rPr>
              <w:t xml:space="preserve">Rojo</w:t>
            </w:r>
          </w:p>
        </w:tc>
        <w:tc>
          <w:tcPr>
            <w:tcW w:type="dxa" w:w="420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Padrones con nombres o CURP, microdatos identificables, información bajo reserva.</w:t>
            </w:r>
          </w:p>
        </w:tc>
        <w:tc>
          <w:tcPr>
            <w:tcW w:type="dxa" w:w="32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En ninguna. Si lo necesitas, primero lo enmascaras.</w:t>
            </w:r>
          </w:p>
        </w:tc>
      </w:tr>
    </w:tbl>
    <w:p>
      <w:pPr>
        <w:spacing w:after="120" w:line="285"/>
        <w:jc w:val="both"/>
      </w:pPr>
      <w:r>
        <w:rPr>
          <w:rFonts w:ascii="Arial" w:cs="Arial" w:eastAsia="Arial" w:hAnsi="Arial"/>
          <w:b w:val="false"/>
          <w:bCs w:val="false"/>
          <w:i/>
          <w:iCs/>
          <w:sz w:val="21"/>
          <w:szCs w:val="21"/>
        </w:rPr>
        <w:t xml:space="preserve">El Instituto todavía no tiene lineamientos propios sobre uso de IA. Mientras no los haya, esta es la regla del curso. Si el Instituto emite una, esa manda sobre esta.</w:t>
      </w:r>
    </w:p>
    <w:p>
      <w:pPr>
        <w:pStyle w:val="Heading2"/>
        <w:spacing w:after="100" w:before="240"/>
      </w:pPr>
      <w:r>
        <w:rPr>
          <w:rFonts w:ascii="Arial" w:cs="Arial" w:eastAsia="Arial" w:hAnsi="Arial"/>
          <w:b/>
          <w:bCs/>
          <w:color w:val="2E7D7D"/>
          <w:sz w:val="22"/>
          <w:szCs w:val="22"/>
        </w:rPr>
        <w:t xml:space="preserve">Tu tarea de privacidad, cinco minutos por herramienta</w:t>
      </w:r>
    </w:p>
    <w:p>
      <w:pPr>
        <w:spacing w:after="120" w:line="285"/>
        <w:jc w:val="both"/>
      </w:pPr>
      <w:r>
        <w:rPr>
          <w:rFonts w:ascii="Arial" w:cs="Arial" w:eastAsia="Arial" w:hAnsi="Arial"/>
          <w:b w:val="false"/>
          <w:bCs w:val="false"/>
          <w:i w:val="false"/>
          <w:iCs w:val="false"/>
          <w:sz w:val="21"/>
          <w:szCs w:val="21"/>
        </w:rPr>
        <w:t xml:space="preserve">Las herramientas gratuitas usan tus conversaciones para entrenar al modelo, salvo que tú lo apagues. Viene prendido de fábrica. Hazlo hoy con ChatGPT y repítelo con cada herramienta nueva el día que la abras.</w:t>
      </w:r>
    </w:p>
    <w:p>
      <w:pPr>
        <w:spacing w:after="90" w:line="280"/>
        <w:ind w:left="520" w:hanging="260"/>
        <w:jc w:val="both"/>
      </w:pPr>
      <w:r>
        <w:rPr>
          <w:rFonts w:ascii="Arial" w:cs="Arial" w:eastAsia="Arial" w:hAnsi="Arial"/>
          <w:sz w:val="21"/>
          <w:szCs w:val="21"/>
        </w:rPr>
        <w:t xml:space="preserve">•   Entra a la configuración y busca la sección de datos, privacidad o controles de datos.</w:t>
      </w:r>
    </w:p>
    <w:p>
      <w:pPr>
        <w:spacing w:after="90" w:line="280"/>
        <w:ind w:left="520" w:hanging="260"/>
        <w:jc w:val="both"/>
      </w:pPr>
      <w:r>
        <w:rPr>
          <w:rFonts w:ascii="Arial" w:cs="Arial" w:eastAsia="Arial" w:hAnsi="Arial"/>
          <w:sz w:val="21"/>
          <w:szCs w:val="21"/>
        </w:rPr>
        <w:t xml:space="preserve">•   Apaga la opción de mejorar el modelo. El nombre cambia entre herramientas, la opción es la misma.</w:t>
      </w:r>
    </w:p>
    <w:p>
      <w:pPr>
        <w:spacing w:after="90" w:line="280"/>
        <w:ind w:left="520" w:hanging="260"/>
        <w:jc w:val="both"/>
      </w:pPr>
      <w:r>
        <w:rPr>
          <w:rFonts w:ascii="Arial" w:cs="Arial" w:eastAsia="Arial" w:hAnsi="Arial"/>
          <w:sz w:val="21"/>
          <w:szCs w:val="21"/>
        </w:rPr>
        <w:t xml:space="preserve">•   Anótalo en tu bitácora, con la fecha.</w:t>
      </w:r>
    </w:p>
    <w:p>
      <w:pPr>
        <w:spacing w:after="120" w:line="285"/>
        <w:jc w:val="both"/>
      </w:pPr>
      <w:r>
        <w:rPr>
          <w:rFonts w:ascii="Arial" w:cs="Arial" w:eastAsia="Arial" w:hAnsi="Arial"/>
          <w:b/>
          <w:bCs/>
          <w:i w:val="false"/>
          <w:iCs w:val="false"/>
          <w:sz w:val="21"/>
          <w:szCs w:val="21"/>
        </w:rPr>
        <w:t xml:space="preserve">Ojo: esto no cambia el semáforo. Aun con el entrenamiento apagado, esas herramientas siguen siendo solo para información verde.</w:t>
      </w:r>
    </w:p>
    <w:p>
      <w:pPr>
        <w:pStyle w:val="Heading2"/>
        <w:spacing w:after="100" w:before="240"/>
      </w:pPr>
      <w:r>
        <w:rPr>
          <w:rFonts w:ascii="Arial" w:cs="Arial" w:eastAsia="Arial" w:hAnsi="Arial"/>
          <w:b/>
          <w:bCs/>
          <w:color w:val="2E7D7D"/>
          <w:sz w:val="22"/>
          <w:szCs w:val="22"/>
        </w:rPr>
        <w:t xml:space="preserve">Cómo enmascarar un archivo en cinco minutos</w:t>
      </w:r>
    </w:p>
    <w:p>
      <w:pPr>
        <w:spacing w:after="90" w:line="280"/>
        <w:ind w:left="520" w:hanging="260"/>
        <w:jc w:val="both"/>
      </w:pPr>
      <w:r>
        <w:rPr>
          <w:rFonts w:ascii="Arial" w:cs="Arial" w:eastAsia="Arial" w:hAnsi="Arial"/>
          <w:sz w:val="21"/>
          <w:szCs w:val="21"/>
        </w:rPr>
        <w:t xml:space="preserve">•   Cambia la columna de nombre por un número secuencial. La equivalencia se queda en un archivo aparte que nunca sube a ninguna herramienta.</w:t>
      </w:r>
    </w:p>
    <w:p>
      <w:pPr>
        <w:spacing w:after="90" w:line="280"/>
        <w:ind w:left="520" w:hanging="260"/>
        <w:jc w:val="both"/>
      </w:pPr>
      <w:r>
        <w:rPr>
          <w:rFonts w:ascii="Arial" w:cs="Arial" w:eastAsia="Arial" w:hAnsi="Arial"/>
          <w:sz w:val="21"/>
          <w:szCs w:val="21"/>
        </w:rPr>
        <w:t xml:space="preserve">•   Deja solo el año de nacimiento en lugar de la fecha completa.</w:t>
      </w:r>
    </w:p>
    <w:p>
      <w:pPr>
        <w:spacing w:after="90" w:line="280"/>
        <w:ind w:left="520" w:hanging="260"/>
        <w:jc w:val="both"/>
      </w:pPr>
      <w:r>
        <w:rPr>
          <w:rFonts w:ascii="Arial" w:cs="Arial" w:eastAsia="Arial" w:hAnsi="Arial"/>
          <w:sz w:val="21"/>
          <w:szCs w:val="21"/>
        </w:rPr>
        <w:t xml:space="preserve">•   Deja solo el municipio y la entidad en lugar del domicilio.</w:t>
      </w:r>
    </w:p>
    <w:p>
      <w:pPr>
        <w:spacing w:after="90" w:line="280"/>
        <w:ind w:left="520" w:hanging="260"/>
        <w:jc w:val="both"/>
      </w:pPr>
      <w:r>
        <w:rPr>
          <w:rFonts w:ascii="Arial" w:cs="Arial" w:eastAsia="Arial" w:hAnsi="Arial"/>
          <w:sz w:val="21"/>
          <w:szCs w:val="21"/>
        </w:rPr>
        <w:t xml:space="preserve">•   Borra CURP, teléfono y correo.</w:t>
      </w:r>
    </w:p>
    <w:p>
      <w:pPr>
        <w:spacing w:after="90" w:line="280"/>
        <w:ind w:left="520" w:hanging="260"/>
        <w:jc w:val="both"/>
      </w:pPr>
      <w:r>
        <w:rPr>
          <w:rFonts w:ascii="Arial" w:cs="Arial" w:eastAsia="Arial" w:hAnsi="Arial"/>
          <w:sz w:val="21"/>
          <w:szCs w:val="21"/>
        </w:rPr>
        <w:t xml:space="preserve">•   Anota en tu bitácora qué le hiciste al archivo. Eso es el linaje del dato.</w:t>
      </w:r>
    </w:p>
    <w:p>
      <w:pPr>
        <w:pStyle w:val="Heading1"/>
        <w:spacing w:after="140" w:before="300"/>
      </w:pPr>
      <w:r>
        <w:rPr>
          <w:rFonts w:ascii="Arial" w:cs="Arial" w:eastAsia="Arial" w:hAnsi="Arial"/>
          <w:b/>
          <w:bCs/>
          <w:color w:val="16262E"/>
          <w:sz w:val="27"/>
          <w:szCs w:val="27"/>
        </w:rPr>
        <w:t xml:space="preserve">4. Cómo justificar que vas a usar IA</w:t>
      </w:r>
    </w:p>
    <w:p>
      <w:pPr>
        <w:spacing w:after="120" w:line="285"/>
        <w:jc w:val="both"/>
      </w:pPr>
      <w:r>
        <w:rPr>
          <w:rFonts w:ascii="Arial" w:cs="Arial" w:eastAsia="Arial" w:hAnsi="Arial"/>
          <w:b w:val="false"/>
          <w:bCs w:val="false"/>
          <w:i w:val="false"/>
          <w:iCs w:val="false"/>
          <w:sz w:val="21"/>
          <w:szCs w:val="21"/>
        </w:rPr>
        <w:t xml:space="preserve">Son las tres preguntas que te va a hacer un órgano de control, una auditoría o un comité de evaluación. Conviene tener la respuesta escrita antes de que te la pregunten.</w:t>
      </w:r>
    </w:p>
    <w:p>
      <w:pPr>
        <w:pStyle w:val="Heading2"/>
        <w:spacing w:after="100" w:before="240"/>
      </w:pPr>
      <w:r>
        <w:rPr>
          <w:rFonts w:ascii="Arial" w:cs="Arial" w:eastAsia="Arial" w:hAnsi="Arial"/>
          <w:b/>
          <w:bCs/>
          <w:color w:val="2E7D7D"/>
          <w:sz w:val="22"/>
          <w:szCs w:val="22"/>
        </w:rPr>
        <w:t xml:space="preserve">Pregunta 1. ¿Se justifica usar IA para esta tarea?</w:t>
      </w:r>
    </w:p>
    <w:p>
      <w:pPr>
        <w:spacing w:after="90" w:line="280"/>
        <w:ind w:left="520" w:hanging="260"/>
        <w:jc w:val="both"/>
      </w:pPr>
      <w:r>
        <w:rPr>
          <w:rFonts w:ascii="Arial" w:cs="Arial" w:eastAsia="Arial" w:hAnsi="Arial"/>
          <w:sz w:val="21"/>
          <w:szCs w:val="21"/>
        </w:rPr>
        <w:t xml:space="preserve">•   ¿Te ahorra escala? Se justifica cuando hay más texto del que tu equipo puede leer en el tiempo que tiene.</w:t>
      </w:r>
    </w:p>
    <w:p>
      <w:pPr>
        <w:spacing w:after="90" w:line="280"/>
        <w:ind w:left="520" w:hanging="260"/>
        <w:jc w:val="both"/>
      </w:pPr>
      <w:r>
        <w:rPr>
          <w:rFonts w:ascii="Arial" w:cs="Arial" w:eastAsia="Arial" w:hAnsi="Arial"/>
          <w:sz w:val="21"/>
          <w:szCs w:val="21"/>
        </w:rPr>
        <w:t xml:space="preserve">•   ¿La tarea es repetitiva? Se justifica si sacas los mismos datos de muchos documentos. No si cada uno pide un juicio distinto.</w:t>
      </w:r>
    </w:p>
    <w:p>
      <w:pPr>
        <w:spacing w:after="90" w:line="280"/>
        <w:ind w:left="520" w:hanging="260"/>
        <w:jc w:val="both"/>
      </w:pPr>
      <w:r>
        <w:rPr>
          <w:rFonts w:ascii="Arial" w:cs="Arial" w:eastAsia="Arial" w:hAnsi="Arial"/>
          <w:sz w:val="21"/>
          <w:szCs w:val="21"/>
        </w:rPr>
        <w:t xml:space="preserve">•   ¿Alguien va a revisar? Si nadie revisa la salida, no se justifica: nadie respondería por ella.</w:t>
      </w:r>
    </w:p>
    <w:p>
      <w:pPr>
        <w:spacing w:after="90" w:line="280"/>
        <w:ind w:left="520" w:hanging="260"/>
        <w:jc w:val="both"/>
      </w:pPr>
      <w:r>
        <w:rPr>
          <w:rFonts w:ascii="Arial" w:cs="Arial" w:eastAsia="Arial" w:hAnsi="Arial"/>
          <w:sz w:val="21"/>
          <w:szCs w:val="21"/>
        </w:rPr>
        <w:t xml:space="preserve">•   Y lo que lo anula: si el resultado tiene efectos jurídicos o necesita un número exacto, no se justifica aunque cumpla las otras tres.</w:t>
      </w:r>
    </w:p>
    <w:p>
      <w:pPr>
        <w:pStyle w:val="Heading2"/>
        <w:spacing w:after="100" w:before="240"/>
      </w:pPr>
      <w:r>
        <w:rPr>
          <w:rFonts w:ascii="Arial" w:cs="Arial" w:eastAsia="Arial" w:hAnsi="Arial"/>
          <w:b/>
          <w:bCs/>
          <w:color w:val="2E7D7D"/>
          <w:sz w:val="22"/>
          <w:szCs w:val="22"/>
        </w:rPr>
        <w:t xml:space="preserve">Pregunta 2. ¿Por qué esta herramienta y no otra?</w:t>
      </w:r>
    </w:p>
    <w:p>
      <w:pPr>
        <w:spacing w:after="90" w:line="280"/>
        <w:ind w:left="520" w:hanging="260"/>
        <w:jc w:val="both"/>
      </w:pPr>
      <w:r>
        <w:rPr>
          <w:rFonts w:ascii="Arial" w:cs="Arial" w:eastAsia="Arial" w:hAnsi="Arial"/>
          <w:sz w:val="21"/>
          <w:szCs w:val="21"/>
        </w:rPr>
        <w:t xml:space="preserve">•   Seguridad y privacidad: dónde se procesa tu información y bajo qué contrato.</w:t>
      </w:r>
    </w:p>
    <w:p>
      <w:pPr>
        <w:spacing w:after="90" w:line="280"/>
        <w:ind w:left="520" w:hanging="260"/>
        <w:jc w:val="both"/>
      </w:pPr>
      <w:r>
        <w:rPr>
          <w:rFonts w:ascii="Arial" w:cs="Arial" w:eastAsia="Arial" w:hAnsi="Arial"/>
          <w:sz w:val="21"/>
          <w:szCs w:val="21"/>
        </w:rPr>
        <w:t xml:space="preserve">•   Integración: si la herramienta trabaja donde ya está el documento o tienes que sacarlo.</w:t>
      </w:r>
    </w:p>
    <w:p>
      <w:pPr>
        <w:spacing w:after="90" w:line="280"/>
        <w:ind w:left="520" w:hanging="260"/>
        <w:jc w:val="both"/>
      </w:pPr>
      <w:r>
        <w:rPr>
          <w:rFonts w:ascii="Arial" w:cs="Arial" w:eastAsia="Arial" w:hAnsi="Arial"/>
          <w:sz w:val="21"/>
          <w:szCs w:val="21"/>
        </w:rPr>
        <w:t xml:space="preserve">•   Idoneidad: si necesitas calcular algo, el chat no es la herramienta. Esa sola pregunta te manda al Módulo III.</w:t>
      </w:r>
    </w:p>
    <w:p>
      <w:pPr>
        <w:pStyle w:val="Heading2"/>
        <w:spacing w:after="100" w:before="240"/>
      </w:pPr>
      <w:r>
        <w:rPr>
          <w:rFonts w:ascii="Arial" w:cs="Arial" w:eastAsia="Arial" w:hAnsi="Arial"/>
          <w:b/>
          <w:bCs/>
          <w:color w:val="2E7D7D"/>
          <w:sz w:val="22"/>
          <w:szCs w:val="22"/>
        </w:rPr>
        <w:t xml:space="preserve">Pregunta 3. ¿Qué no puede hacer esta herramienta?</w:t>
      </w:r>
    </w:p>
    <w:p>
      <w:pPr>
        <w:spacing w:after="90" w:line="280"/>
        <w:ind w:left="520" w:hanging="260"/>
        <w:jc w:val="both"/>
      </w:pPr>
      <w:r>
        <w:rPr>
          <w:rFonts w:ascii="Arial" w:cs="Arial" w:eastAsia="Arial" w:hAnsi="Arial"/>
          <w:sz w:val="21"/>
          <w:szCs w:val="21"/>
        </w:rPr>
        <w:t xml:space="preserve">•   Puede inventar. Toda salida es un borrador hasta que alguien la verifica.</w:t>
      </w:r>
    </w:p>
    <w:p>
      <w:pPr>
        <w:spacing w:after="90" w:line="280"/>
        <w:ind w:left="520" w:hanging="260"/>
        <w:jc w:val="both"/>
      </w:pPr>
      <w:r>
        <w:rPr>
          <w:rFonts w:ascii="Arial" w:cs="Arial" w:eastAsia="Arial" w:hAnsi="Arial"/>
          <w:sz w:val="21"/>
          <w:szCs w:val="21"/>
        </w:rPr>
        <w:t xml:space="preserve">•   Trae sesgos. No se quitan con un prompt, se disminuyen revisando lo que quedó al margen.</w:t>
      </w:r>
    </w:p>
    <w:p>
      <w:pPr>
        <w:spacing w:after="90" w:line="280"/>
        <w:ind w:left="520" w:hanging="260"/>
        <w:jc w:val="both"/>
      </w:pPr>
      <w:r>
        <w:rPr>
          <w:rFonts w:ascii="Arial" w:cs="Arial" w:eastAsia="Arial" w:hAnsi="Arial"/>
          <w:sz w:val="21"/>
          <w:szCs w:val="21"/>
        </w:rPr>
        <w:t xml:space="preserve">•   Tiene un límite de lectura. Lo que no cabe, no lo ve, y no te avisa.</w:t>
      </w:r>
    </w:p>
    <w:p>
      <w:pPr>
        <w:spacing w:after="90" w:line="280"/>
        <w:ind w:left="520" w:hanging="260"/>
        <w:jc w:val="both"/>
      </w:pPr>
      <w:r>
        <w:rPr>
          <w:rFonts w:ascii="Arial" w:cs="Arial" w:eastAsia="Arial" w:hAnsi="Arial"/>
          <w:sz w:val="21"/>
          <w:szCs w:val="21"/>
        </w:rPr>
        <w:t xml:space="preserve">•   No sabe qué importa. Puede dejar fuera el hallazgo central porque ocupaba una frase.</w:t>
      </w:r>
    </w:p>
    <w:p>
      <w:pPr>
        <w:pStyle w:val="Heading1"/>
        <w:spacing w:after="140" w:before="300"/>
      </w:pPr>
      <w:r>
        <w:rPr>
          <w:rFonts w:ascii="Arial" w:cs="Arial" w:eastAsia="Arial" w:hAnsi="Arial"/>
          <w:b/>
          <w:bCs/>
          <w:color w:val="16262E"/>
          <w:sz w:val="27"/>
          <w:szCs w:val="27"/>
        </w:rPr>
        <w:t xml:space="preserve">5. Lo que entregas y lo que traes mañana</w:t>
      </w: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3000"/>
        <w:gridCol w:w="6360"/>
      </w:tblGrid>
      <w:tr>
        <w:trPr>
          <w:tblHeader/>
        </w:trPr>
        <w:tc>
          <w:tcPr>
            <w:tcW w:type="dxa" w:w="300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Qué</w:t>
            </w:r>
          </w:p>
        </w:tc>
        <w:tc>
          <w:tcPr>
            <w:tcW w:type="dxa" w:w="6360"/>
            <w:shd w:fill="D7E7E7" w:color="auto" w:val="clear"/>
            <w:tcMar>
              <w:top w:type="dxa" w:w="80"/>
              <w:left w:type="dxa" w:w="100"/>
              <w:bottom w:type="dxa" w:w="80"/>
              <w:right w:type="dxa" w:w="100"/>
            </w:tcMar>
          </w:tcPr>
          <w:p>
            <w:pPr>
              <w:spacing w:after="0" w:line="275"/>
            </w:pPr>
            <w:r>
              <w:rPr>
                <w:rFonts w:ascii="Arial" w:cs="Arial" w:eastAsia="Arial" w:hAnsi="Arial"/>
                <w:b/>
                <w:bCs/>
                <w:sz w:val="19"/>
                <w:szCs w:val="19"/>
              </w:rPr>
              <w:t xml:space="preserve">Cómo</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Tu ficha de idoneidad</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Por correo, como S01_ApellidoNombre_FichaIdoneidad.docx, con el asunto igual al nombre del archivo. Formato 2 del archivo de formatos.</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Tu bitácora creada</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En el formato del archivo de plantillas, con al menos tres entradas de las demostraciones de hoy.</w:t>
            </w:r>
          </w:p>
        </w:tc>
      </w:tr>
      <w:tr>
        <w:tc>
          <w:tcPr>
            <w:tcW w:type="dxa" w:w="3000"/>
            <w:tcMar>
              <w:top w:type="dxa" w:w="80"/>
              <w:left w:type="dxa" w:w="100"/>
              <w:bottom w:type="dxa" w:w="80"/>
              <w:right w:type="dxa" w:w="100"/>
            </w:tcMar>
          </w:tcPr>
          <w:p>
            <w:pPr>
              <w:spacing w:after="0" w:line="275"/>
            </w:pPr>
            <w:r>
              <w:rPr>
                <w:rFonts w:ascii="Arial" w:cs="Arial" w:eastAsia="Arial" w:hAnsi="Arial"/>
                <w:b/>
                <w:bCs/>
                <w:sz w:val="19"/>
                <w:szCs w:val="19"/>
              </w:rPr>
              <w:t xml:space="preserve">Para mañana</w:t>
            </w:r>
          </w:p>
        </w:tc>
        <w:tc>
          <w:tcPr>
            <w:tcW w:type="dxa" w:w="6360"/>
            <w:tcMar>
              <w:top w:type="dxa" w:w="80"/>
              <w:left w:type="dxa" w:w="100"/>
              <w:bottom w:type="dxa" w:w="80"/>
              <w:right w:type="dxa" w:w="100"/>
            </w:tcMar>
          </w:tcPr>
          <w:p>
            <w:pPr>
              <w:spacing w:after="0" w:line="275"/>
            </w:pPr>
            <w:r>
              <w:rPr>
                <w:rFonts w:ascii="Arial" w:cs="Arial" w:eastAsia="Arial" w:hAnsi="Arial"/>
                <w:b w:val="false"/>
                <w:bCs w:val="false"/>
                <w:sz w:val="19"/>
                <w:szCs w:val="19"/>
              </w:rPr>
              <w:t xml:space="preserve">Baja un documento normativo público que te interese, de preferencia unas reglas de operación del Diario Oficial, y tráelo abierto.</w:t>
            </w:r>
          </w:p>
        </w:tc>
      </w:tr>
    </w:tbl>
    <w:p>
      <w:pPr>
        <w:spacing w:after="200"/>
      </w:pPr>
    </w:p>
    <w:tbl>
      <w:tblPr>
        <w:tblW w:type="dxa" w:w="9360"/>
        <w:tblBorders>
          <w:top w:val="single" w:color="8EA9DB" w:sz="4"/>
          <w:left w:val="single" w:color="8EA9DB" w:sz="4"/>
          <w:bottom w:val="single" w:color="8EA9DB" w:sz="4"/>
          <w:right w:val="single" w:color="8EA9DB" w:sz="4"/>
          <w:insideH w:val="single" w:color="C9D6DA" w:sz="2"/>
          <w:insideV w:val="single" w:color="C9D6DA" w:sz="2"/>
        </w:tblBorders>
      </w:tblPr>
      <w:tblGrid>
        <w:gridCol w:w="9360"/>
      </w:tblGrid>
      <w:tr>
        <w:tc>
          <w:tcPr>
            <w:tcW w:type="dxa" w:w="9360"/>
            <w:shd w:fill="F7E4D8" w:color="auto" w:val="clear"/>
            <w:tcMar>
              <w:top w:type="dxa" w:w="120"/>
              <w:left w:type="dxa" w:w="160"/>
              <w:bottom w:type="dxa" w:w="120"/>
              <w:right w:type="dxa" w:w="160"/>
            </w:tcMar>
          </w:tcPr>
          <w:p>
            <w:pPr>
              <w:spacing w:after="80"/>
            </w:pPr>
            <w:r>
              <w:rPr>
                <w:rFonts w:ascii="Arial" w:cs="Arial" w:eastAsia="Arial" w:hAnsi="Arial"/>
                <w:b/>
                <w:bCs/>
                <w:sz w:val="21"/>
                <w:szCs w:val="21"/>
              </w:rPr>
              <w:t xml:space="preserve">Una advertencia de calendario</w:t>
            </w:r>
          </w:p>
          <w:p>
            <w:pPr>
              <w:spacing w:after="60" w:line="275"/>
              <w:jc w:val="both"/>
            </w:pPr>
            <w:r>
              <w:rPr>
                <w:rFonts w:ascii="Arial" w:cs="Arial" w:eastAsia="Arial" w:hAnsi="Arial"/>
                <w:sz w:val="20"/>
                <w:szCs w:val="20"/>
              </w:rPr>
              <w:t xml:space="preserve">No actives todavía la prueba gratuita de Elicit. Son siete días y se usa hasta el lunes 21 de septiembre.</w:t>
            </w:r>
          </w:p>
          <w:p>
            <w:pPr>
              <w:spacing w:after="60" w:line="275"/>
              <w:jc w:val="both"/>
            </w:pPr>
            <w:r>
              <w:rPr>
                <w:rFonts w:ascii="Arial" w:cs="Arial" w:eastAsia="Arial" w:hAnsi="Arial"/>
                <w:sz w:val="20"/>
                <w:szCs w:val="20"/>
              </w:rPr>
              <w:t xml:space="preserve">Lo mismo con cualquier otra prueba gratuita del curso: actívala el día que se usa, no antes.</w:t>
            </w:r>
          </w:p>
        </w:tc>
      </w:tr>
    </w:tbl>
    <w:p>
      <w:pPr>
        <w:pStyle w:val="Heading1"/>
        <w:spacing w:after="140" w:before="300"/>
      </w:pPr>
      <w:r>
        <w:rPr>
          <w:rFonts w:ascii="Arial" w:cs="Arial" w:eastAsia="Arial" w:hAnsi="Arial"/>
          <w:b/>
          <w:bCs/>
          <w:color w:val="16262E"/>
          <w:sz w:val="27"/>
          <w:szCs w:val="27"/>
        </w:rPr>
        <w:t xml:space="preserve">6. Si quieres comprobar los casos que viste</w:t>
      </w:r>
    </w:p>
    <w:p>
      <w:pPr>
        <w:spacing w:after="120" w:line="285"/>
        <w:jc w:val="both"/>
      </w:pPr>
      <w:r>
        <w:rPr>
          <w:rFonts w:ascii="Arial" w:cs="Arial" w:eastAsia="Arial" w:hAnsi="Arial"/>
          <w:b w:val="false"/>
          <w:bCs w:val="false"/>
          <w:i w:val="false"/>
          <w:iCs w:val="false"/>
          <w:sz w:val="21"/>
          <w:szCs w:val="21"/>
        </w:rPr>
        <w:t xml:space="preserve">Los siete casos de hoy son verificables. Compruébalos tú mismo: es exactamente lo que este curso te va a pedir que hagas con todo lo demás. Si encuentras que alguno está mal, dilo.</w:t>
      </w:r>
    </w:p>
    <w:p>
      <w:pPr>
        <w:spacing w:after="90" w:line="280"/>
        <w:ind w:left="520" w:hanging="260"/>
      </w:pPr>
      <w:r>
        <w:rPr>
          <w:rFonts w:ascii="Arial" w:cs="Arial" w:eastAsia="Arial" w:hAnsi="Arial"/>
          <w:sz w:val="21"/>
          <w:szCs w:val="21"/>
        </w:rPr>
        <w:t xml:space="preserve">•   Transparencia. Mata v. Avianca, No. 1:22-cv-01461 (S.D.N.Y.), 22 de junio de 2023. </w:t>
      </w:r>
      <w:hyperlink w:history="1" r:id="rId46no9zu9fsh1lpqgr8a4_">
        <w:r>
          <w:rPr>
            <w:rFonts w:ascii="Courier New" w:cs="Courier New" w:eastAsia="Courier New" w:hAnsi="Courier New"/>
            <w:color w:val="2E7D7D"/>
            <w:sz w:val="15"/>
            <w:szCs w:val="15"/>
            <w:u w:val="single"/>
          </w:rPr>
          <w:t xml:space="preserve">https://www.law.berkeley.edu/wp-content/uploads/archive/2025/12/Mata-v-Avianca-Inc.pdf</w:t>
        </w:r>
      </w:hyperlink>
    </w:p>
    <w:p>
      <w:pPr>
        <w:spacing w:after="90" w:line="280"/>
        <w:ind w:left="520" w:hanging="260"/>
      </w:pPr>
      <w:r>
        <w:rPr>
          <w:rFonts w:ascii="Arial" w:cs="Arial" w:eastAsia="Arial" w:hAnsi="Arial"/>
          <w:sz w:val="21"/>
          <w:szCs w:val="21"/>
        </w:rPr>
        <w:t xml:space="preserve">•   Gobierno de datos. Samsung, Forbes, 2 de mayo de 2023. </w:t>
      </w:r>
      <w:hyperlink w:history="1" r:id="rIdb5wgrl5eampexj0ab8z2-">
        <w:r>
          <w:rPr>
            <w:rFonts w:ascii="Courier New" w:cs="Courier New" w:eastAsia="Courier New" w:hAnsi="Courier New"/>
            <w:color w:val="2E7D7D"/>
            <w:sz w:val="15"/>
            <w:szCs w:val="15"/>
            <w:u w:val="single"/>
          </w:rPr>
          <w:t xml:space="preserve">https://www.forbes.com/sites/siladityaray/2023/05/02/samsung-bans-chatgpt-and-other-chatbots-for-employees-after-sensitive-code-leak/</w:t>
        </w:r>
      </w:hyperlink>
    </w:p>
    <w:p>
      <w:pPr>
        <w:spacing w:after="90" w:line="280"/>
        <w:ind w:left="520" w:hanging="260"/>
      </w:pPr>
      <w:r>
        <w:rPr>
          <w:rFonts w:ascii="Arial" w:cs="Arial" w:eastAsia="Arial" w:hAnsi="Arial"/>
          <w:sz w:val="21"/>
          <w:szCs w:val="21"/>
        </w:rPr>
        <w:t xml:space="preserve">•   Sesgos. Países Bajos, Amnistía Internacional, octubre de 2021. </w:t>
      </w:r>
      <w:hyperlink w:history="1" r:id="rId-poefcxzogsgz_f7eohm0">
        <w:r>
          <w:rPr>
            <w:rFonts w:ascii="Courier New" w:cs="Courier New" w:eastAsia="Courier New" w:hAnsi="Courier New"/>
            <w:color w:val="2E7D7D"/>
            <w:sz w:val="15"/>
            <w:szCs w:val="15"/>
            <w:u w:val="single"/>
          </w:rPr>
          <w:t xml:space="preserve">https://www.amnesty.org/en/latest/news/2021/10/xenophobic-machines-dutch-child-benefit-scandal/</w:t>
        </w:r>
      </w:hyperlink>
    </w:p>
    <w:p>
      <w:pPr>
        <w:spacing w:after="90" w:line="280"/>
        <w:ind w:left="520" w:hanging="260"/>
      </w:pPr>
      <w:r>
        <w:rPr>
          <w:rFonts w:ascii="Arial" w:cs="Arial" w:eastAsia="Arial" w:hAnsi="Arial"/>
          <w:sz w:val="21"/>
          <w:szCs w:val="21"/>
        </w:rPr>
        <w:t xml:space="preserve">•   Representación. Amazon, Reuters, 10 de octubre de 2018. Regulación posterior en Nueva York: </w:t>
      </w:r>
      <w:hyperlink w:history="1" r:id="rIdk0evw1d3wvusvvda25n-u">
        <w:r>
          <w:rPr>
            <w:rFonts w:ascii="Courier New" w:cs="Courier New" w:eastAsia="Courier New" w:hAnsi="Courier New"/>
            <w:color w:val="2E7D7D"/>
            <w:sz w:val="15"/>
            <w:szCs w:val="15"/>
            <w:u w:val="single"/>
          </w:rPr>
          <w:t xml:space="preserve">https://www.nyc.gov/site/dca/about/automated-employment-decision-tools.page</w:t>
        </w:r>
      </w:hyperlink>
    </w:p>
    <w:p>
      <w:pPr>
        <w:spacing w:after="90" w:line="280"/>
        <w:ind w:left="520" w:hanging="260"/>
      </w:pPr>
      <w:r>
        <w:rPr>
          <w:rFonts w:ascii="Arial" w:cs="Arial" w:eastAsia="Arial" w:hAnsi="Arial"/>
          <w:sz w:val="21"/>
          <w:szCs w:val="21"/>
        </w:rPr>
        <w:t xml:space="preserve">•   Mayoría. Obermeyer y coautores, Science 366(6464), 2019. </w:t>
      </w:r>
      <w:hyperlink w:history="1" r:id="rIdd79xpfzv1lh8_kyatyeni">
        <w:r>
          <w:rPr>
            <w:rFonts w:ascii="Courier New" w:cs="Courier New" w:eastAsia="Courier New" w:hAnsi="Courier New"/>
            <w:color w:val="2E7D7D"/>
            <w:sz w:val="15"/>
            <w:szCs w:val="15"/>
            <w:u w:val="single"/>
          </w:rPr>
          <w:t xml:space="preserve">https://www.science.org/doi/10.1126/science.aax2342</w:t>
        </w:r>
      </w:hyperlink>
    </w:p>
    <w:p>
      <w:pPr>
        <w:spacing w:after="90" w:line="280"/>
        <w:ind w:left="520" w:hanging="260"/>
      </w:pPr>
      <w:r>
        <w:rPr>
          <w:rFonts w:ascii="Arial" w:cs="Arial" w:eastAsia="Arial" w:hAnsi="Arial"/>
          <w:sz w:val="21"/>
          <w:szCs w:val="21"/>
        </w:rPr>
        <w:t xml:space="preserve">•   Complacencia. OpenAI, abril y mayo de 2025. </w:t>
      </w:r>
      <w:hyperlink w:history="1" r:id="rIdkapl7m3fzxvravewnubla">
        <w:r>
          <w:rPr>
            <w:rFonts w:ascii="Courier New" w:cs="Courier New" w:eastAsia="Courier New" w:hAnsi="Courier New"/>
            <w:color w:val="2E7D7D"/>
            <w:sz w:val="15"/>
            <w:szCs w:val="15"/>
            <w:u w:val="single"/>
          </w:rPr>
          <w:t xml:space="preserve">https://openai.com/index/expanding-on-sycophancy/</w:t>
        </w:r>
      </w:hyperlink>
    </w:p>
    <w:p>
      <w:pPr>
        <w:spacing w:after="90" w:line="280"/>
        <w:ind w:left="520" w:hanging="260"/>
      </w:pPr>
      <w:r>
        <w:rPr>
          <w:rFonts w:ascii="Arial" w:cs="Arial" w:eastAsia="Arial" w:hAnsi="Arial"/>
          <w:sz w:val="21"/>
          <w:szCs w:val="21"/>
        </w:rPr>
        <w:t xml:space="preserve">•   Lingüístico. Koenecke y coautores, PNAS 117(14), 2020. </w:t>
      </w:r>
      <w:hyperlink w:history="1" r:id="rId6w0vq9gcy2nsfrcskwlad">
        <w:r>
          <w:rPr>
            <w:rFonts w:ascii="Courier New" w:cs="Courier New" w:eastAsia="Courier New" w:hAnsi="Courier New"/>
            <w:color w:val="2E7D7D"/>
            <w:sz w:val="15"/>
            <w:szCs w:val="15"/>
            <w:u w:val="single"/>
          </w:rPr>
          <w:t xml:space="preserve">https://www.pnas.org/doi/10.1073/pnas.1915768117</w:t>
        </w:r>
      </w:hyperlink>
    </w:p>
    <w:p>
      <w:pPr>
        <w:spacing w:after="120" w:line="285"/>
        <w:jc w:val="both"/>
      </w:pPr>
      <w:r>
        <w:rPr>
          <w:rFonts w:ascii="Arial" w:cs="Arial" w:eastAsia="Arial" w:hAnsi="Arial"/>
          <w:b w:val="false"/>
          <w:bCs w:val="false"/>
          <w:i/>
          <w:iCs/>
          <w:color w:val="5A6B73"/>
          <w:sz w:val="19"/>
          <w:szCs w:val="19"/>
        </w:rPr>
        <w:t xml:space="preserve">Ligas verificadas el 12 de septiembre de 2026. Si alguna deja de servir, la referencia basta para encontrar la fuente.</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Sesión 1. Curso de Inteligencia Artificial Aplicada. INEGI 2026. Página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46no9zu9fsh1lpqgr8a4_" Type="http://schemas.openxmlformats.org/officeDocument/2006/relationships/hyperlink" Target="https://www.law.berkeley.edu/wp-content/uploads/archive/2025/12/Mata-v-Avianca-Inc.pdf" TargetMode="External"/><Relationship Id="rIdb5wgrl5eampexj0ab8z2-" Type="http://schemas.openxmlformats.org/officeDocument/2006/relationships/hyperlink" Target="https://www.forbes.com/sites/siladityaray/2023/05/02/samsung-bans-chatgpt-and-other-chatbots-for-employees-after-sensitive-code-leak/" TargetMode="External"/><Relationship Id="rId-poefcxzogsgz_f7eohm0" Type="http://schemas.openxmlformats.org/officeDocument/2006/relationships/hyperlink" Target="https://www.amnesty.org/en/latest/news/2021/10/xenophobic-machines-dutch-child-benefit-scandal/" TargetMode="External"/><Relationship Id="rIdk0evw1d3wvusvvda25n-u" Type="http://schemas.openxmlformats.org/officeDocument/2006/relationships/hyperlink" Target="https://www.nyc.gov/site/dca/about/automated-employment-decision-tools.page" TargetMode="External"/><Relationship Id="rIdd79xpfzv1lh8_kyatyeni" Type="http://schemas.openxmlformats.org/officeDocument/2006/relationships/hyperlink" Target="https://www.science.org/doi/10.1126/science.aax2342" TargetMode="External"/><Relationship Id="rIdkapl7m3fzxvravewnubla" Type="http://schemas.openxmlformats.org/officeDocument/2006/relationships/hyperlink" Target="https://openai.com/index/expanding-on-sycophancy/" TargetMode="External"/><Relationship Id="rId6w0vq9gcy2nsfrcskwlad" Type="http://schemas.openxmlformats.org/officeDocument/2006/relationships/hyperlink" Target="https://www.pnas.org/doi/10.1073/pnas.1915768117"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2026-09-13T20:16:50.887Z</dcterms:created>
  <dcterms:modified xsi:type="dcterms:W3CDTF">2026-09-13T20:16:50.887Z</dcterms:modified>
</cp:coreProperties>
</file>

<file path=docProps/custom.xml><?xml version="1.0" encoding="utf-8"?>
<Properties xmlns="http://schemas.openxmlformats.org/officeDocument/2006/custom-properties" xmlns:vt="http://schemas.openxmlformats.org/officeDocument/2006/docPropsVTypes"/>
</file>