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595959"/>
          <w:sz w:val="24"/>
          <w:szCs w:val="24"/>
        </w:rPr>
        <w:t xml:space="preserve">INFORME FINAL DE EVALUACIÓN</w:t>
      </w:r>
    </w:p>
    <w:p>
      <w:pPr>
        <w:spacing w:after="200"/>
        <w:jc w:val="center"/>
      </w:pPr>
      <w:r>
        <w:rPr>
          <w:rFonts w:ascii="Arial" w:cs="Arial" w:eastAsia="Arial" w:hAnsi="Arial"/>
          <w:b/>
          <w:bCs/>
          <w:color w:val="1F3864"/>
          <w:sz w:val="36"/>
          <w:szCs w:val="36"/>
        </w:rPr>
        <w:t xml:space="preserve">Evaluación Integral del Programa de Apoyo al Cuidado Comunitario</w:t>
      </w:r>
    </w:p>
    <w:p>
      <w:pPr>
        <w:spacing w:after="600"/>
        <w:jc w:val="center"/>
      </w:pPr>
      <w:r>
        <w:rPr>
          <w:rFonts w:ascii="Arial" w:cs="Arial" w:eastAsia="Arial" w:hAnsi="Arial"/>
          <w:color w:val="2E5496"/>
          <w:sz w:val="28"/>
          <w:szCs w:val="28"/>
        </w:rPr>
        <w:t xml:space="preserve">Ejercicio fiscal 2025</w:t>
      </w:r>
    </w:p>
    <w:p>
      <w:pPr>
        <w:spacing w:after="140" w:line="300"/>
        <w:jc w:val="center"/>
      </w:pPr>
      <w:r>
        <w:rPr>
          <w:rFonts w:ascii="Arial" w:cs="Arial" w:eastAsia="Arial" w:hAnsi="Arial"/>
          <w:b w:val="false"/>
          <w:bCs w:val="false"/>
          <w:i w:val="false"/>
          <w:iCs w:val="false"/>
          <w:sz w:val="22"/>
          <w:szCs w:val="22"/>
        </w:rPr>
        <w:t xml:space="preserve">El Programa de Apoyo al Cuidado Comunitario opera en 12 entidades federativas y combina una transferencia monetaria bimestral a hogares con personas cuidadoras con una red de centros comunitarios de cuidado infantil y de personas adultas mayores.</w:t>
      </w:r>
    </w:p>
    <w:p>
      <w:pPr>
        <w:spacing w:after="120" w:before="1600"/>
        <w:jc w:val="center"/>
      </w:pPr>
      <w:r>
        <w:rPr>
          <w:rFonts w:ascii="Arial" w:cs="Arial" w:eastAsia="Arial" w:hAnsi="Arial"/>
          <w:i/>
          <w:iCs/>
          <w:color w:val="595959"/>
          <w:sz w:val="20"/>
          <w:szCs w:val="20"/>
        </w:rPr>
        <w:t xml:space="preserve">Documento elaborado con apoyo de herramientas de inteligencia artificial generativa</w:t>
      </w:r>
    </w:p>
    <w:p>
      <w:pPr>
        <w:spacing w:after="120"/>
        <w:jc w:val="center"/>
      </w:pPr>
      <w:r>
        <w:rPr>
          <w:rFonts w:ascii="Arial" w:cs="Arial" w:eastAsia="Arial" w:hAnsi="Arial"/>
          <w:color w:val="595959"/>
          <w:sz w:val="20"/>
          <w:szCs w:val="20"/>
        </w:rPr>
        <w:t xml:space="preserve">Marzo de 2026</w:t>
      </w:r>
    </w:p>
    <w:p>
      <w:pPr>
        <w:spacing w:after="0" w:before="1200"/>
        <w:jc w:val="center"/>
      </w:pPr>
      <w:r>
        <w:rPr>
          <w:rFonts w:ascii="Arial" w:cs="Arial" w:eastAsia="Arial" w:hAnsi="Arial"/>
          <w:b/>
          <w:bCs/>
          <w:color w:val="C00000"/>
          <w:sz w:val="18"/>
          <w:szCs w:val="18"/>
        </w:rPr>
        <w:t xml:space="preserve">AVISO: este es un documento sintético elaborado exclusivamente para el ejercicio de capacitación del Curso de Inteligencia Artificial Aplicada. El programa, las entidades, las cifras, las personas y las fuentes citadas son ficticios y no corresponden a ningún programa real.</w:t>
      </w:r>
    </w:p>
    <w:p>
      <w:r>
        <w:br w:type="page"/>
      </w:r>
    </w:p>
    <w:p>
      <w:pPr>
        <w:pStyle w:val="Heading1"/>
        <w:spacing w:after="160" w:before="320"/>
      </w:pPr>
      <w:r>
        <w:rPr>
          <w:rFonts w:ascii="Arial" w:cs="Arial" w:eastAsia="Arial" w:hAnsi="Arial"/>
          <w:b/>
          <w:bCs/>
          <w:color w:val="1F3864"/>
          <w:sz w:val="28"/>
          <w:szCs w:val="28"/>
        </w:rPr>
        <w:t xml:space="preserve">Resumen ejecutivo</w:t>
      </w:r>
    </w:p>
    <w:p>
      <w:pPr>
        <w:spacing w:after="140" w:line="300"/>
        <w:jc w:val="both"/>
      </w:pPr>
      <w:r>
        <w:rPr>
          <w:rFonts w:ascii="Arial" w:cs="Arial" w:eastAsia="Arial" w:hAnsi="Arial"/>
          <w:b w:val="false"/>
          <w:bCs w:val="false"/>
          <w:i w:val="false"/>
          <w:iCs w:val="false"/>
          <w:sz w:val="22"/>
          <w:szCs w:val="22"/>
        </w:rPr>
        <w:t xml:space="preserve">El presente informe reporta los resultados de la evaluación integral del Programa de Apoyo al Cuidado Comunitario correspondiente al ejercicio fiscal 2025. La evaluación se realizó con un enfoque mixto que combinó el análisis de registros administrativos del programa con trabajo cualitativo en campo.</w:t>
      </w:r>
    </w:p>
    <w:p>
      <w:pPr>
        <w:spacing w:after="140" w:line="300"/>
        <w:jc w:val="both"/>
      </w:pPr>
      <w:r>
        <w:rPr>
          <w:rFonts w:ascii="Arial" w:cs="Arial" w:eastAsia="Arial" w:hAnsi="Arial"/>
          <w:b w:val="false"/>
          <w:bCs w:val="false"/>
          <w:i w:val="false"/>
          <w:iCs w:val="false"/>
          <w:sz w:val="22"/>
          <w:szCs w:val="22"/>
        </w:rPr>
        <w:t xml:space="preserve">Durante 2025 el programa atendió a 142,380 personas beneficiarias, lo que representa un avance sustantivo respecto del ejercicio anterior. La cobertura de la población objetivo pasó de 34.2 por ciento en 2024 a 41.6 por ciento en 2025, lo que representa un incremento de 21.6 puntos porcentuales en un solo ejercicio. Este resultado coloca al programa muy cerca de la meta institucional establecida para el periodo.</w:t>
      </w:r>
    </w:p>
    <w:p>
      <w:pPr>
        <w:spacing w:after="140" w:line="300"/>
        <w:jc w:val="both"/>
      </w:pPr>
      <w:r>
        <w:rPr>
          <w:rFonts w:ascii="Arial" w:cs="Arial" w:eastAsia="Arial" w:hAnsi="Arial"/>
          <w:b w:val="false"/>
          <w:bCs w:val="false"/>
          <w:i w:val="false"/>
          <w:iCs w:val="false"/>
          <w:sz w:val="22"/>
          <w:szCs w:val="22"/>
        </w:rPr>
        <w:t xml:space="preserve">El presupuesto ejercido ascendió a 1,284.5 millones de pesos. El costo por persona beneficiaria, calculado sobre el presupuesto total ejercido, fue de 6,420 pesos anuales, cifra que se ubica por debajo del promedio de programas comparables en la región.</w:t>
      </w:r>
    </w:p>
    <w:p>
      <w:pPr>
        <w:spacing w:after="140" w:line="300"/>
        <w:jc w:val="both"/>
      </w:pPr>
      <w:r>
        <w:rPr>
          <w:rFonts w:ascii="Arial" w:cs="Arial" w:eastAsia="Arial" w:hAnsi="Arial"/>
          <w:b w:val="false"/>
          <w:bCs w:val="false"/>
          <w:i w:val="false"/>
          <w:iCs w:val="false"/>
          <w:sz w:val="22"/>
          <w:szCs w:val="22"/>
        </w:rPr>
        <w:t xml:space="preserve">El análisis cualitativo muestra niveles altos de satisfacción entre las personas usuarias. Las participantes en los grupos focales destacaron de manera consistente la utilidad de los centros comunitarios de cuidado y la puntualidad de las transferencias.</w:t>
      </w:r>
    </w:p>
    <w:p>
      <w:pPr>
        <w:spacing w:after="140" w:line="300"/>
        <w:jc w:val="both"/>
      </w:pPr>
      <w:r>
        <w:rPr>
          <w:rFonts w:ascii="Arial" w:cs="Arial" w:eastAsia="Arial" w:hAnsi="Arial"/>
          <w:b w:val="false"/>
          <w:bCs w:val="false"/>
          <w:i w:val="false"/>
          <w:iCs w:val="false"/>
          <w:sz w:val="22"/>
          <w:szCs w:val="22"/>
        </w:rPr>
        <w:t xml:space="preserve">La evidencia recabada permite afirmar que el programa contribuyó a reducir la pobreza laboral en las localidades atendidas y que su diseño resulta pertinente para el problema público que busca atender. Se recomienda ampliar la cobertura hacia las entidades que aún no cuentan con centros comunitarios en operación.</w:t>
      </w:r>
    </w:p>
    <w:p>
      <w:pPr>
        <w:pStyle w:val="Heading1"/>
        <w:spacing w:after="160" w:before="320"/>
      </w:pPr>
      <w:r>
        <w:rPr>
          <w:rFonts w:ascii="Arial" w:cs="Arial" w:eastAsia="Arial" w:hAnsi="Arial"/>
          <w:b/>
          <w:bCs/>
          <w:color w:val="1F3864"/>
          <w:sz w:val="28"/>
          <w:szCs w:val="28"/>
        </w:rPr>
        <w:t xml:space="preserve">1. Antecedentes y descripción del programa</w:t>
      </w:r>
    </w:p>
    <w:p>
      <w:pPr>
        <w:spacing w:after="140" w:line="300"/>
        <w:jc w:val="both"/>
      </w:pPr>
      <w:r>
        <w:rPr>
          <w:rFonts w:ascii="Arial" w:cs="Arial" w:eastAsia="Arial" w:hAnsi="Arial"/>
          <w:b w:val="false"/>
          <w:bCs w:val="false"/>
          <w:i w:val="false"/>
          <w:iCs w:val="false"/>
          <w:sz w:val="22"/>
          <w:szCs w:val="22"/>
        </w:rPr>
        <w:t xml:space="preserve">El Programa de Apoyo al Cuidado Comunitario fue creado en 2021 con el propósito de atender la carga desproporcionada de trabajo de cuidado no remunerado que recae sobre las mujeres en hogares de bajos ingresos. El programa cuenta con dos componentes. El primero es una transferencia monetaria bimestral dirigida a hogares donde reside al menos una persona que requiere cuidados y una persona cuidadora principal. El segundo es la operación de centros comunitarios de cuidado que ofrecen atención diurna a niñas, niños y personas adultas mayores.</w:t>
      </w:r>
    </w:p>
    <w:p>
      <w:pPr>
        <w:spacing w:after="140" w:line="300"/>
        <w:jc w:val="both"/>
      </w:pPr>
      <w:r>
        <w:rPr>
          <w:rFonts w:ascii="Arial" w:cs="Arial" w:eastAsia="Arial" w:hAnsi="Arial"/>
          <w:b w:val="false"/>
          <w:bCs w:val="false"/>
          <w:i w:val="false"/>
          <w:iCs w:val="false"/>
          <w:sz w:val="22"/>
          <w:szCs w:val="22"/>
        </w:rPr>
        <w:t xml:space="preserve">Las Reglas de Operación vigentes para el ejercicio 2025, integradas por 32 artículos y cuatro anexos técnicos, establecen los criterios de elegibilidad, los montos de apoyo, los mecanismos de dispersión y las obligaciones de las personas beneficiarias. El artículo 47 de dichas Reglas de Operación dispone que la evaluación externa debe realizarse de manera anual y que sus resultados deben publicarse dentro de los noventa días naturales posteriores a su conclusión.</w:t>
      </w:r>
    </w:p>
    <w:p>
      <w:pPr>
        <w:spacing w:after="140" w:line="300"/>
        <w:jc w:val="both"/>
      </w:pPr>
      <w:r>
        <w:rPr>
          <w:rFonts w:ascii="Arial" w:cs="Arial" w:eastAsia="Arial" w:hAnsi="Arial"/>
          <w:b w:val="false"/>
          <w:bCs w:val="false"/>
          <w:i w:val="false"/>
          <w:iCs w:val="false"/>
          <w:sz w:val="22"/>
          <w:szCs w:val="22"/>
        </w:rPr>
        <w:t xml:space="preserve">De acuerdo con la Encuesta Nacional de Cuidados Comunitarios 2023 publicada por el INEGI, las mujeres de 15 años y más dedican en promedio más del triple de horas semanales al trabajo de cuidado no remunerado que los hombres del mismo grupo de edad. Esta brecha constituye la justificación principal del diseño del programa. Diversos estudios han documentado que la disponibilidad de servicios de cuidado tiene efectos positivos sobre la participación laboral femenina (Hernández Villalobos y Trejo Sandoval, 2021; Ramírez, 2019).</w:t>
      </w:r>
    </w:p>
    <w:p>
      <w:pPr>
        <w:pStyle w:val="Heading1"/>
        <w:spacing w:after="160" w:before="320"/>
      </w:pPr>
      <w:r>
        <w:rPr>
          <w:rFonts w:ascii="Arial" w:cs="Arial" w:eastAsia="Arial" w:hAnsi="Arial"/>
          <w:b/>
          <w:bCs/>
          <w:color w:val="1F3864"/>
          <w:sz w:val="28"/>
          <w:szCs w:val="28"/>
        </w:rPr>
        <w:t xml:space="preserve">2. Objetivo y preguntas de evaluación</w:t>
      </w:r>
    </w:p>
    <w:p>
      <w:pPr>
        <w:spacing w:after="140" w:line="300"/>
        <w:jc w:val="both"/>
      </w:pPr>
      <w:r>
        <w:rPr>
          <w:rFonts w:ascii="Arial" w:cs="Arial" w:eastAsia="Arial" w:hAnsi="Arial"/>
          <w:b w:val="false"/>
          <w:bCs w:val="false"/>
          <w:i w:val="false"/>
          <w:iCs w:val="false"/>
          <w:sz w:val="22"/>
          <w:szCs w:val="22"/>
        </w:rPr>
        <w:t xml:space="preserve">El objetivo general de la evaluación consistió en valorar el desempeño del programa durante el ejercicio fiscal 2025 en términos de cobertura, operación, resultados y satisfacción de las personas usuarias.</w:t>
      </w:r>
    </w:p>
    <w:p>
      <w:pPr>
        <w:spacing w:after="140" w:line="300"/>
        <w:jc w:val="both"/>
      </w:pPr>
      <w:r>
        <w:rPr>
          <w:rFonts w:ascii="Arial" w:cs="Arial" w:eastAsia="Arial" w:hAnsi="Arial"/>
          <w:b w:val="false"/>
          <w:bCs w:val="false"/>
          <w:i w:val="false"/>
          <w:iCs w:val="false"/>
          <w:sz w:val="22"/>
          <w:szCs w:val="22"/>
        </w:rPr>
        <w:t xml:space="preserve">Las preguntas de evaluación fueron las siguientes. Primera, en qué medida el programa avanzó en la cobertura de su población objetivo. Segunda, si los mecanismos de operación y dispersión funcionaron conforme a lo previsto en las Reglas de Operación. Tercera, qué percepción tienen las personas usuarias sobre la calidad de los servicios recibidos. Cuarta, qué recomendaciones de mejora pueden derivarse de los hallazgos.</w:t>
      </w:r>
    </w:p>
    <w:p>
      <w:pPr>
        <w:pStyle w:val="Heading1"/>
        <w:spacing w:after="160" w:before="320"/>
      </w:pPr>
      <w:r>
        <w:rPr>
          <w:rFonts w:ascii="Arial" w:cs="Arial" w:eastAsia="Arial" w:hAnsi="Arial"/>
          <w:b/>
          <w:bCs/>
          <w:color w:val="1F3864"/>
          <w:sz w:val="28"/>
          <w:szCs w:val="28"/>
        </w:rPr>
        <w:t xml:space="preserve">3. Metodología</w:t>
      </w:r>
    </w:p>
    <w:p>
      <w:pPr>
        <w:spacing w:after="140" w:line="300"/>
        <w:jc w:val="both"/>
      </w:pPr>
      <w:r>
        <w:rPr>
          <w:rFonts w:ascii="Arial" w:cs="Arial" w:eastAsia="Arial" w:hAnsi="Arial"/>
          <w:b w:val="false"/>
          <w:bCs w:val="false"/>
          <w:i w:val="false"/>
          <w:iCs w:val="false"/>
          <w:sz w:val="22"/>
          <w:szCs w:val="22"/>
        </w:rPr>
        <w:t xml:space="preserve">La evaluación adoptó un diseño mixto de tipo secuencial explicativo. En una primera fase se analizaron los registros administrativos del programa correspondientes a 8 entidades federativas, con corte al 31 de diciembre de 2025. En una segunda fase se realizó trabajo cualitativo para profundizar en los hallazgos cuantitativos.</w:t>
      </w:r>
    </w:p>
    <w:p>
      <w:pPr>
        <w:spacing w:after="140" w:line="300"/>
        <w:jc w:val="both"/>
      </w:pPr>
      <w:r>
        <w:rPr>
          <w:rFonts w:ascii="Arial" w:cs="Arial" w:eastAsia="Arial" w:hAnsi="Arial"/>
          <w:b w:val="false"/>
          <w:bCs w:val="false"/>
          <w:i w:val="false"/>
          <w:iCs w:val="false"/>
          <w:sz w:val="22"/>
          <w:szCs w:val="22"/>
        </w:rPr>
        <w:t xml:space="preserve">Para la construcción de la línea base se utilizaron los valores del indicador de cobertura reportados en 2023 y los valores del indicador de participación laboral de mujeres cuidadoras reportados en 2022, los cuales se presentan de manera integrada en la sección de hallazgos como la línea base del programa.</w:t>
      </w:r>
    </w:p>
    <w:p>
      <w:pPr>
        <w:spacing w:after="140" w:line="300"/>
        <w:jc w:val="both"/>
      </w:pPr>
      <w:r>
        <w:rPr>
          <w:rFonts w:ascii="Arial" w:cs="Arial" w:eastAsia="Arial" w:hAnsi="Arial"/>
          <w:b w:val="false"/>
          <w:bCs w:val="false"/>
          <w:i w:val="false"/>
          <w:iCs w:val="false"/>
          <w:sz w:val="22"/>
          <w:szCs w:val="22"/>
        </w:rPr>
        <w:t xml:space="preserve">El componente cualitativo consistió en seis grupos focales con un total de 48 personas beneficiarias, distribuidos en tres entidades federativas, así como en doce entrevistas semiestructuradas con personal operativo. Durante los grupos focales, 40 por ciento de las participantes manifestaron haber experimentado retrasos en la dispersión del apoyo durante al menos un bimestre del ejercicio.</w:t>
      </w:r>
    </w:p>
    <w:p>
      <w:pPr>
        <w:spacing w:after="140" w:line="300"/>
        <w:jc w:val="both"/>
      </w:pPr>
      <w:r>
        <w:rPr>
          <w:rFonts w:ascii="Arial" w:cs="Arial" w:eastAsia="Arial" w:hAnsi="Arial"/>
          <w:b w:val="false"/>
          <w:bCs w:val="false"/>
          <w:i w:val="false"/>
          <w:iCs w:val="false"/>
          <w:sz w:val="22"/>
          <w:szCs w:val="22"/>
        </w:rPr>
        <w:t xml:space="preserve">El procesamiento de la información cualitativa se realizó mediante codificación temática asistida por herramientas de inteligencia artificial generativa. Las categorías de análisis se derivaron de las preguntas de evaluación.</w:t>
      </w:r>
    </w:p>
    <w:p>
      <w:pPr>
        <w:pStyle w:val="Heading1"/>
        <w:spacing w:after="160" w:before="320"/>
      </w:pPr>
      <w:r>
        <w:rPr>
          <w:rFonts w:ascii="Arial" w:cs="Arial" w:eastAsia="Arial" w:hAnsi="Arial"/>
          <w:b/>
          <w:bCs/>
          <w:color w:val="1F3864"/>
          <w:sz w:val="28"/>
          <w:szCs w:val="28"/>
        </w:rPr>
        <w:t xml:space="preserve">4. Hallazgos cuantitativos</w:t>
      </w:r>
    </w:p>
    <w:p>
      <w:pPr>
        <w:pStyle w:val="Heading2"/>
        <w:spacing w:after="120" w:before="260"/>
      </w:pPr>
      <w:r>
        <w:rPr>
          <w:rFonts w:ascii="Arial" w:cs="Arial" w:eastAsia="Arial" w:hAnsi="Arial"/>
          <w:b/>
          <w:bCs/>
          <w:color w:val="2E5496"/>
          <w:sz w:val="24"/>
          <w:szCs w:val="24"/>
        </w:rPr>
        <w:t xml:space="preserve">4.1 Cobertura y distribución territorial</w:t>
      </w:r>
    </w:p>
    <w:p>
      <w:pPr>
        <w:spacing w:after="140" w:line="300"/>
        <w:jc w:val="both"/>
      </w:pPr>
      <w:r>
        <w:rPr>
          <w:rFonts w:ascii="Arial" w:cs="Arial" w:eastAsia="Arial" w:hAnsi="Arial"/>
          <w:b w:val="false"/>
          <w:bCs w:val="false"/>
          <w:i w:val="false"/>
          <w:iCs w:val="false"/>
          <w:sz w:val="22"/>
          <w:szCs w:val="22"/>
        </w:rPr>
        <w:t xml:space="preserve">La Tabla 1 presenta el comportamiento de la cobertura por entidad federativa. En todas las entidades evaluadas se observó una mejora en la cobertura de la población objetivo respecto del ejercicio anterior.</w:t>
      </w:r>
    </w:p>
    <w:p>
      <w:pPr>
        <w:spacing w:after="80" w:before="200"/>
      </w:pPr>
      <w:r>
        <w:rPr>
          <w:rFonts w:ascii="Arial" w:cs="Arial" w:eastAsia="Arial" w:hAnsi="Arial"/>
          <w:b/>
          <w:bCs/>
          <w:sz w:val="20"/>
          <w:szCs w:val="20"/>
        </w:rPr>
        <w:t xml:space="preserve">Tabla 1. Cobertura y personas beneficiarias por entidad federativa, 2024 y 2025</w:t>
      </w:r>
    </w:p>
    <w:tbl>
      <w:tblPr>
        <w:tblW w:type="dxa" w:w="9360"/>
        <w:tblBorders>
          <w:top w:val="single" w:color="8EA9DB" w:sz="4"/>
          <w:left w:val="single" w:color="8EA9DB" w:sz="4"/>
          <w:bottom w:val="single" w:color="8EA9DB" w:sz="4"/>
          <w:right w:val="single" w:color="8EA9DB" w:sz="4"/>
          <w:insideH w:val="single" w:color="B4C6E7" w:sz="2"/>
          <w:insideV w:val="single" w:color="B4C6E7" w:sz="2"/>
        </w:tblBorders>
      </w:tblPr>
      <w:tblGrid>
        <w:gridCol w:w="1800"/>
        <w:gridCol w:w="1700"/>
        <w:gridCol w:w="1650"/>
        <w:gridCol w:w="1650"/>
        <w:gridCol w:w="1400"/>
        <w:gridCol w:w="1160"/>
      </w:tblGrid>
      <w:tr>
        <w:trPr>
          <w:tblHeader/>
        </w:trPr>
        <w:tc>
          <w:tcPr>
            <w:tcW w:type="dxa" w:w="1800"/>
            <w:shd w:fill="D9E2F3" w:color="auto" w:val="clear"/>
            <w:tcMar>
              <w:top w:type="dxa" w:w="60"/>
              <w:left w:type="dxa" w:w="90"/>
              <w:bottom w:type="dxa" w:w="60"/>
              <w:right w:type="dxa" w:w="90"/>
            </w:tcMar>
          </w:tcPr>
          <w:p>
            <w:pPr>
              <w:spacing w:after="0" w:line="260"/>
              <w:jc w:val="center"/>
            </w:pPr>
            <w:r>
              <w:rPr>
                <w:rFonts w:ascii="Arial" w:cs="Arial" w:eastAsia="Arial" w:hAnsi="Arial"/>
                <w:b/>
                <w:bCs/>
                <w:sz w:val="20"/>
                <w:szCs w:val="20"/>
              </w:rPr>
              <w:t xml:space="preserve">Entidad</w:t>
            </w:r>
          </w:p>
        </w:tc>
        <w:tc>
          <w:tcPr>
            <w:tcW w:type="dxa" w:w="1700"/>
            <w:shd w:fill="D9E2F3" w:color="auto" w:val="clear"/>
            <w:tcMar>
              <w:top w:type="dxa" w:w="60"/>
              <w:left w:type="dxa" w:w="90"/>
              <w:bottom w:type="dxa" w:w="60"/>
              <w:right w:type="dxa" w:w="90"/>
            </w:tcMar>
          </w:tcPr>
          <w:p>
            <w:pPr>
              <w:spacing w:after="0" w:line="260"/>
              <w:jc w:val="center"/>
            </w:pPr>
            <w:r>
              <w:rPr>
                <w:rFonts w:ascii="Arial" w:cs="Arial" w:eastAsia="Arial" w:hAnsi="Arial"/>
                <w:b/>
                <w:bCs/>
                <w:sz w:val="20"/>
                <w:szCs w:val="20"/>
              </w:rPr>
              <w:t xml:space="preserve">Personas beneficiarias</w:t>
            </w:r>
          </w:p>
        </w:tc>
        <w:tc>
          <w:tcPr>
            <w:tcW w:type="dxa" w:w="1650"/>
            <w:shd w:fill="D9E2F3" w:color="auto" w:val="clear"/>
            <w:tcMar>
              <w:top w:type="dxa" w:w="60"/>
              <w:left w:type="dxa" w:w="90"/>
              <w:bottom w:type="dxa" w:w="60"/>
              <w:right w:type="dxa" w:w="90"/>
            </w:tcMar>
          </w:tcPr>
          <w:p>
            <w:pPr>
              <w:spacing w:after="0" w:line="260"/>
              <w:jc w:val="center"/>
            </w:pPr>
            <w:r>
              <w:rPr>
                <w:rFonts w:ascii="Arial" w:cs="Arial" w:eastAsia="Arial" w:hAnsi="Arial"/>
                <w:b/>
                <w:bCs/>
                <w:sz w:val="20"/>
                <w:szCs w:val="20"/>
              </w:rPr>
              <w:t xml:space="preserve">Cobertura 2024 (%)</w:t>
            </w:r>
          </w:p>
        </w:tc>
        <w:tc>
          <w:tcPr>
            <w:tcW w:type="dxa" w:w="1650"/>
            <w:shd w:fill="D9E2F3" w:color="auto" w:val="clear"/>
            <w:tcMar>
              <w:top w:type="dxa" w:w="60"/>
              <w:left w:type="dxa" w:w="90"/>
              <w:bottom w:type="dxa" w:w="60"/>
              <w:right w:type="dxa" w:w="90"/>
            </w:tcMar>
          </w:tcPr>
          <w:p>
            <w:pPr>
              <w:spacing w:after="0" w:line="260"/>
              <w:jc w:val="center"/>
            </w:pPr>
            <w:r>
              <w:rPr>
                <w:rFonts w:ascii="Arial" w:cs="Arial" w:eastAsia="Arial" w:hAnsi="Arial"/>
                <w:b/>
                <w:bCs/>
                <w:sz w:val="20"/>
                <w:szCs w:val="20"/>
              </w:rPr>
              <w:t xml:space="preserve">Cobertura 2025 (%)</w:t>
            </w:r>
          </w:p>
        </w:tc>
        <w:tc>
          <w:tcPr>
            <w:tcW w:type="dxa" w:w="1400"/>
            <w:shd w:fill="D9E2F3" w:color="auto" w:val="clear"/>
            <w:tcMar>
              <w:top w:type="dxa" w:w="60"/>
              <w:left w:type="dxa" w:w="90"/>
              <w:bottom w:type="dxa" w:w="60"/>
              <w:right w:type="dxa" w:w="90"/>
            </w:tcMar>
          </w:tcPr>
          <w:p>
            <w:pPr>
              <w:spacing w:after="0" w:line="260"/>
              <w:jc w:val="center"/>
            </w:pPr>
            <w:r>
              <w:rPr>
                <w:rFonts w:ascii="Arial" w:cs="Arial" w:eastAsia="Arial" w:hAnsi="Arial"/>
                <w:b/>
                <w:bCs/>
                <w:sz w:val="20"/>
                <w:szCs w:val="20"/>
              </w:rPr>
              <w:t xml:space="preserve">Variación (pp)</w:t>
            </w:r>
          </w:p>
        </w:tc>
        <w:tc>
          <w:tcPr>
            <w:tcW w:type="dxa" w:w="1160"/>
            <w:shd w:fill="D9E2F3" w:color="auto" w:val="clear"/>
            <w:tcMar>
              <w:top w:type="dxa" w:w="60"/>
              <w:left w:type="dxa" w:w="90"/>
              <w:bottom w:type="dxa" w:w="60"/>
              <w:right w:type="dxa" w:w="90"/>
            </w:tcMar>
          </w:tcPr>
          <w:p>
            <w:pPr>
              <w:spacing w:after="0" w:line="260"/>
              <w:jc w:val="center"/>
            </w:pPr>
            <w:r>
              <w:rPr>
                <w:rFonts w:ascii="Arial" w:cs="Arial" w:eastAsia="Arial" w:hAnsi="Arial"/>
                <w:b/>
                <w:bCs/>
                <w:sz w:val="20"/>
                <w:szCs w:val="20"/>
              </w:rPr>
              <w:t xml:space="preserve">Centros</w:t>
            </w:r>
          </w:p>
        </w:tc>
      </w:tr>
      <w:tr>
        <w:tc>
          <w:tcPr>
            <w:tcW w:type="dxa" w:w="1800"/>
            <w:tcMar>
              <w:top w:type="dxa" w:w="60"/>
              <w:left w:type="dxa" w:w="90"/>
              <w:bottom w:type="dxa" w:w="60"/>
              <w:right w:type="dxa" w:w="90"/>
            </w:tcMar>
          </w:tcPr>
          <w:p>
            <w:pPr>
              <w:spacing w:after="0" w:line="260"/>
              <w:jc w:val="left"/>
            </w:pPr>
            <w:r>
              <w:rPr>
                <w:rFonts w:ascii="Arial" w:cs="Arial" w:eastAsia="Arial" w:hAnsi="Arial"/>
                <w:b w:val="false"/>
                <w:bCs w:val="false"/>
                <w:sz w:val="20"/>
                <w:szCs w:val="20"/>
              </w:rPr>
              <w:t xml:space="preserve">Entidad A</w:t>
            </w:r>
          </w:p>
        </w:tc>
        <w:tc>
          <w:tcPr>
            <w:tcW w:type="dxa" w:w="1700"/>
            <w:tcMar>
              <w:top w:type="dxa" w:w="60"/>
              <w:left w:type="dxa" w:w="90"/>
              <w:bottom w:type="dxa" w:w="60"/>
              <w:right w:type="dxa" w:w="90"/>
            </w:tcMar>
          </w:tcPr>
          <w:p>
            <w:pPr>
              <w:spacing w:after="0" w:line="260"/>
              <w:jc w:val="right"/>
            </w:pPr>
            <w:r>
              <w:rPr>
                <w:rFonts w:ascii="Arial" w:cs="Arial" w:eastAsia="Arial" w:hAnsi="Arial"/>
                <w:b w:val="false"/>
                <w:bCs w:val="false"/>
                <w:sz w:val="20"/>
                <w:szCs w:val="20"/>
              </w:rPr>
              <w:t xml:space="preserve">24,310</w:t>
            </w:r>
          </w:p>
        </w:tc>
        <w:tc>
          <w:tcPr>
            <w:tcW w:type="dxa" w:w="1650"/>
            <w:tcMar>
              <w:top w:type="dxa" w:w="60"/>
              <w:left w:type="dxa" w:w="90"/>
              <w:bottom w:type="dxa" w:w="60"/>
              <w:right w:type="dxa" w:w="90"/>
            </w:tcMar>
          </w:tcPr>
          <w:p>
            <w:pPr>
              <w:spacing w:after="0" w:line="260"/>
              <w:jc w:val="center"/>
            </w:pPr>
            <w:r>
              <w:rPr>
                <w:rFonts w:ascii="Arial" w:cs="Arial" w:eastAsia="Arial" w:hAnsi="Arial"/>
                <w:b w:val="false"/>
                <w:bCs w:val="false"/>
                <w:sz w:val="20"/>
                <w:szCs w:val="20"/>
              </w:rPr>
              <w:t xml:space="preserve">38.1</w:t>
            </w:r>
          </w:p>
        </w:tc>
        <w:tc>
          <w:tcPr>
            <w:tcW w:type="dxa" w:w="1650"/>
            <w:tcMar>
              <w:top w:type="dxa" w:w="60"/>
              <w:left w:type="dxa" w:w="90"/>
              <w:bottom w:type="dxa" w:w="60"/>
              <w:right w:type="dxa" w:w="90"/>
            </w:tcMar>
          </w:tcPr>
          <w:p>
            <w:pPr>
              <w:spacing w:after="0" w:line="260"/>
              <w:jc w:val="center"/>
            </w:pPr>
            <w:r>
              <w:rPr>
                <w:rFonts w:ascii="Arial" w:cs="Arial" w:eastAsia="Arial" w:hAnsi="Arial"/>
                <w:b w:val="false"/>
                <w:bCs w:val="false"/>
                <w:sz w:val="20"/>
                <w:szCs w:val="20"/>
              </w:rPr>
              <w:t xml:space="preserve">44.7</w:t>
            </w:r>
          </w:p>
        </w:tc>
        <w:tc>
          <w:tcPr>
            <w:tcW w:type="dxa" w:w="1400"/>
            <w:tcMar>
              <w:top w:type="dxa" w:w="60"/>
              <w:left w:type="dxa" w:w="90"/>
              <w:bottom w:type="dxa" w:w="60"/>
              <w:right w:type="dxa" w:w="90"/>
            </w:tcMar>
          </w:tcPr>
          <w:p>
            <w:pPr>
              <w:spacing w:after="0" w:line="260"/>
              <w:jc w:val="center"/>
            </w:pPr>
            <w:r>
              <w:rPr>
                <w:rFonts w:ascii="Arial" w:cs="Arial" w:eastAsia="Arial" w:hAnsi="Arial"/>
                <w:b w:val="false"/>
                <w:bCs w:val="false"/>
                <w:sz w:val="20"/>
                <w:szCs w:val="20"/>
              </w:rPr>
              <w:t xml:space="preserve">+6.6</w:t>
            </w:r>
          </w:p>
        </w:tc>
        <w:tc>
          <w:tcPr>
            <w:tcW w:type="dxa" w:w="1160"/>
            <w:tcMar>
              <w:top w:type="dxa" w:w="60"/>
              <w:left w:type="dxa" w:w="90"/>
              <w:bottom w:type="dxa" w:w="60"/>
              <w:right w:type="dxa" w:w="90"/>
            </w:tcMar>
          </w:tcPr>
          <w:p>
            <w:pPr>
              <w:spacing w:after="0" w:line="260"/>
              <w:jc w:val="center"/>
            </w:pPr>
            <w:r>
              <w:rPr>
                <w:rFonts w:ascii="Arial" w:cs="Arial" w:eastAsia="Arial" w:hAnsi="Arial"/>
                <w:b w:val="false"/>
                <w:bCs w:val="false"/>
                <w:sz w:val="20"/>
                <w:szCs w:val="20"/>
              </w:rPr>
              <w:t xml:space="preserve">42</w:t>
            </w:r>
          </w:p>
        </w:tc>
      </w:tr>
      <w:tr>
        <w:tc>
          <w:tcPr>
            <w:tcW w:type="dxa" w:w="1800"/>
            <w:tcMar>
              <w:top w:type="dxa" w:w="60"/>
              <w:left w:type="dxa" w:w="90"/>
              <w:bottom w:type="dxa" w:w="60"/>
              <w:right w:type="dxa" w:w="90"/>
            </w:tcMar>
          </w:tcPr>
          <w:p>
            <w:pPr>
              <w:spacing w:after="0" w:line="260"/>
              <w:jc w:val="left"/>
            </w:pPr>
            <w:r>
              <w:rPr>
                <w:rFonts w:ascii="Arial" w:cs="Arial" w:eastAsia="Arial" w:hAnsi="Arial"/>
                <w:b w:val="false"/>
                <w:bCs w:val="false"/>
                <w:sz w:val="20"/>
                <w:szCs w:val="20"/>
              </w:rPr>
              <w:t xml:space="preserve">Entidad B (1)</w:t>
            </w:r>
          </w:p>
        </w:tc>
        <w:tc>
          <w:tcPr>
            <w:tcW w:type="dxa" w:w="1700"/>
            <w:tcMar>
              <w:top w:type="dxa" w:w="60"/>
              <w:left w:type="dxa" w:w="90"/>
              <w:bottom w:type="dxa" w:w="60"/>
              <w:right w:type="dxa" w:w="90"/>
            </w:tcMar>
          </w:tcPr>
          <w:p>
            <w:pPr>
              <w:spacing w:after="0" w:line="260"/>
              <w:jc w:val="right"/>
            </w:pPr>
            <w:r>
              <w:rPr>
                <w:rFonts w:ascii="Arial" w:cs="Arial" w:eastAsia="Arial" w:hAnsi="Arial"/>
                <w:b w:val="false"/>
                <w:bCs w:val="false"/>
                <w:sz w:val="20"/>
                <w:szCs w:val="20"/>
              </w:rPr>
              <w:t xml:space="preserve">21,845</w:t>
            </w:r>
          </w:p>
        </w:tc>
        <w:tc>
          <w:tcPr>
            <w:tcW w:type="dxa" w:w="1650"/>
            <w:tcMar>
              <w:top w:type="dxa" w:w="60"/>
              <w:left w:type="dxa" w:w="90"/>
              <w:bottom w:type="dxa" w:w="60"/>
              <w:right w:type="dxa" w:w="90"/>
            </w:tcMar>
          </w:tcPr>
          <w:p>
            <w:pPr>
              <w:spacing w:after="0" w:line="260"/>
              <w:jc w:val="center"/>
            </w:pPr>
            <w:r>
              <w:rPr>
                <w:rFonts w:ascii="Arial" w:cs="Arial" w:eastAsia="Arial" w:hAnsi="Arial"/>
                <w:b w:val="false"/>
                <w:bCs w:val="false"/>
                <w:sz w:val="20"/>
                <w:szCs w:val="20"/>
              </w:rPr>
              <w:t xml:space="preserve">31.5</w:t>
            </w:r>
          </w:p>
        </w:tc>
        <w:tc>
          <w:tcPr>
            <w:tcW w:type="dxa" w:w="1650"/>
            <w:tcMar>
              <w:top w:type="dxa" w:w="60"/>
              <w:left w:type="dxa" w:w="90"/>
              <w:bottom w:type="dxa" w:w="60"/>
              <w:right w:type="dxa" w:w="90"/>
            </w:tcMar>
          </w:tcPr>
          <w:p>
            <w:pPr>
              <w:spacing w:after="0" w:line="260"/>
              <w:jc w:val="center"/>
            </w:pPr>
            <w:r>
              <w:rPr>
                <w:rFonts w:ascii="Arial" w:cs="Arial" w:eastAsia="Arial" w:hAnsi="Arial"/>
                <w:b w:val="false"/>
                <w:bCs w:val="false"/>
                <w:sz w:val="20"/>
                <w:szCs w:val="20"/>
              </w:rPr>
              <w:t xml:space="preserve">39.2</w:t>
            </w:r>
          </w:p>
        </w:tc>
        <w:tc>
          <w:tcPr>
            <w:tcW w:type="dxa" w:w="1400"/>
            <w:tcMar>
              <w:top w:type="dxa" w:w="60"/>
              <w:left w:type="dxa" w:w="90"/>
              <w:bottom w:type="dxa" w:w="60"/>
              <w:right w:type="dxa" w:w="90"/>
            </w:tcMar>
          </w:tcPr>
          <w:p>
            <w:pPr>
              <w:spacing w:after="0" w:line="260"/>
              <w:jc w:val="center"/>
            </w:pPr>
            <w:r>
              <w:rPr>
                <w:rFonts w:ascii="Arial" w:cs="Arial" w:eastAsia="Arial" w:hAnsi="Arial"/>
                <w:b w:val="false"/>
                <w:bCs w:val="false"/>
                <w:sz w:val="20"/>
                <w:szCs w:val="20"/>
              </w:rPr>
              <w:t xml:space="preserve">+7.7</w:t>
            </w:r>
          </w:p>
        </w:tc>
        <w:tc>
          <w:tcPr>
            <w:tcW w:type="dxa" w:w="1160"/>
            <w:tcMar>
              <w:top w:type="dxa" w:w="60"/>
              <w:left w:type="dxa" w:w="90"/>
              <w:bottom w:type="dxa" w:w="60"/>
              <w:right w:type="dxa" w:w="90"/>
            </w:tcMar>
          </w:tcPr>
          <w:p>
            <w:pPr>
              <w:spacing w:after="0" w:line="260"/>
              <w:jc w:val="center"/>
            </w:pPr>
            <w:r>
              <w:rPr>
                <w:rFonts w:ascii="Arial" w:cs="Arial" w:eastAsia="Arial" w:hAnsi="Arial"/>
                <w:b w:val="false"/>
                <w:bCs w:val="false"/>
                <w:sz w:val="20"/>
                <w:szCs w:val="20"/>
              </w:rPr>
              <w:t xml:space="preserve">38</w:t>
            </w:r>
          </w:p>
        </w:tc>
      </w:tr>
      <w:tr>
        <w:tc>
          <w:tcPr>
            <w:tcW w:type="dxa" w:w="1800"/>
            <w:tcMar>
              <w:top w:type="dxa" w:w="60"/>
              <w:left w:type="dxa" w:w="90"/>
              <w:bottom w:type="dxa" w:w="60"/>
              <w:right w:type="dxa" w:w="90"/>
            </w:tcMar>
          </w:tcPr>
          <w:p>
            <w:pPr>
              <w:spacing w:after="0" w:line="260"/>
              <w:jc w:val="left"/>
            </w:pPr>
            <w:r>
              <w:rPr>
                <w:rFonts w:ascii="Arial" w:cs="Arial" w:eastAsia="Arial" w:hAnsi="Arial"/>
                <w:b w:val="false"/>
                <w:bCs w:val="false"/>
                <w:sz w:val="20"/>
                <w:szCs w:val="20"/>
              </w:rPr>
              <w:t xml:space="preserve">Entidad C</w:t>
            </w:r>
          </w:p>
        </w:tc>
        <w:tc>
          <w:tcPr>
            <w:tcW w:type="dxa" w:w="1700"/>
            <w:tcMar>
              <w:top w:type="dxa" w:w="60"/>
              <w:left w:type="dxa" w:w="90"/>
              <w:bottom w:type="dxa" w:w="60"/>
              <w:right w:type="dxa" w:w="90"/>
            </w:tcMar>
          </w:tcPr>
          <w:p>
            <w:pPr>
              <w:spacing w:after="0" w:line="260"/>
              <w:jc w:val="right"/>
            </w:pPr>
            <w:r>
              <w:rPr>
                <w:rFonts w:ascii="Arial" w:cs="Arial" w:eastAsia="Arial" w:hAnsi="Arial"/>
                <w:b w:val="false"/>
                <w:bCs w:val="false"/>
                <w:sz w:val="20"/>
                <w:szCs w:val="20"/>
              </w:rPr>
              <w:t xml:space="preserve">19,720</w:t>
            </w:r>
          </w:p>
        </w:tc>
        <w:tc>
          <w:tcPr>
            <w:tcW w:type="dxa" w:w="1650"/>
            <w:tcMar>
              <w:top w:type="dxa" w:w="60"/>
              <w:left w:type="dxa" w:w="90"/>
              <w:bottom w:type="dxa" w:w="60"/>
              <w:right w:type="dxa" w:w="90"/>
            </w:tcMar>
          </w:tcPr>
          <w:p>
            <w:pPr>
              <w:spacing w:after="0" w:line="260"/>
              <w:jc w:val="center"/>
            </w:pPr>
            <w:r>
              <w:rPr>
                <w:rFonts w:ascii="Arial" w:cs="Arial" w:eastAsia="Arial" w:hAnsi="Arial"/>
                <w:b w:val="false"/>
                <w:bCs w:val="false"/>
                <w:sz w:val="20"/>
                <w:szCs w:val="20"/>
              </w:rPr>
              <w:t xml:space="preserve">42.8</w:t>
            </w:r>
          </w:p>
        </w:tc>
        <w:tc>
          <w:tcPr>
            <w:tcW w:type="dxa" w:w="1650"/>
            <w:tcMar>
              <w:top w:type="dxa" w:w="60"/>
              <w:left w:type="dxa" w:w="90"/>
              <w:bottom w:type="dxa" w:w="60"/>
              <w:right w:type="dxa" w:w="90"/>
            </w:tcMar>
          </w:tcPr>
          <w:p>
            <w:pPr>
              <w:spacing w:after="0" w:line="260"/>
              <w:jc w:val="center"/>
            </w:pPr>
            <w:r>
              <w:rPr>
                <w:rFonts w:ascii="Arial" w:cs="Arial" w:eastAsia="Arial" w:hAnsi="Arial"/>
                <w:b w:val="false"/>
                <w:bCs w:val="false"/>
                <w:sz w:val="20"/>
                <w:szCs w:val="20"/>
              </w:rPr>
              <w:t xml:space="preserve">48.9</w:t>
            </w:r>
          </w:p>
        </w:tc>
        <w:tc>
          <w:tcPr>
            <w:tcW w:type="dxa" w:w="1400"/>
            <w:tcMar>
              <w:top w:type="dxa" w:w="60"/>
              <w:left w:type="dxa" w:w="90"/>
              <w:bottom w:type="dxa" w:w="60"/>
              <w:right w:type="dxa" w:w="90"/>
            </w:tcMar>
          </w:tcPr>
          <w:p>
            <w:pPr>
              <w:spacing w:after="0" w:line="260"/>
              <w:jc w:val="center"/>
            </w:pPr>
            <w:r>
              <w:rPr>
                <w:rFonts w:ascii="Arial" w:cs="Arial" w:eastAsia="Arial" w:hAnsi="Arial"/>
                <w:b w:val="false"/>
                <w:bCs w:val="false"/>
                <w:sz w:val="20"/>
                <w:szCs w:val="20"/>
              </w:rPr>
              <w:t xml:space="preserve">+6.1</w:t>
            </w:r>
          </w:p>
        </w:tc>
        <w:tc>
          <w:tcPr>
            <w:tcW w:type="dxa" w:w="1160"/>
            <w:tcMar>
              <w:top w:type="dxa" w:w="60"/>
              <w:left w:type="dxa" w:w="90"/>
              <w:bottom w:type="dxa" w:w="60"/>
              <w:right w:type="dxa" w:w="90"/>
            </w:tcMar>
          </w:tcPr>
          <w:p>
            <w:pPr>
              <w:spacing w:after="0" w:line="260"/>
              <w:jc w:val="center"/>
            </w:pPr>
            <w:r>
              <w:rPr>
                <w:rFonts w:ascii="Arial" w:cs="Arial" w:eastAsia="Arial" w:hAnsi="Arial"/>
                <w:b w:val="false"/>
                <w:bCs w:val="false"/>
                <w:sz w:val="20"/>
                <w:szCs w:val="20"/>
              </w:rPr>
              <w:t xml:space="preserve">35</w:t>
            </w:r>
          </w:p>
        </w:tc>
      </w:tr>
      <w:tr>
        <w:tc>
          <w:tcPr>
            <w:tcW w:type="dxa" w:w="1800"/>
            <w:tcMar>
              <w:top w:type="dxa" w:w="60"/>
              <w:left w:type="dxa" w:w="90"/>
              <w:bottom w:type="dxa" w:w="60"/>
              <w:right w:type="dxa" w:w="90"/>
            </w:tcMar>
          </w:tcPr>
          <w:p>
            <w:pPr>
              <w:spacing w:after="0" w:line="260"/>
              <w:jc w:val="left"/>
            </w:pPr>
            <w:r>
              <w:rPr>
                <w:rFonts w:ascii="Arial" w:cs="Arial" w:eastAsia="Arial" w:hAnsi="Arial"/>
                <w:b w:val="false"/>
                <w:bCs w:val="false"/>
                <w:sz w:val="20"/>
                <w:szCs w:val="20"/>
              </w:rPr>
              <w:t xml:space="preserve">Entidad D</w:t>
            </w:r>
          </w:p>
        </w:tc>
        <w:tc>
          <w:tcPr>
            <w:tcW w:type="dxa" w:w="1700"/>
            <w:tcMar>
              <w:top w:type="dxa" w:w="60"/>
              <w:left w:type="dxa" w:w="90"/>
              <w:bottom w:type="dxa" w:w="60"/>
              <w:right w:type="dxa" w:w="90"/>
            </w:tcMar>
          </w:tcPr>
          <w:p>
            <w:pPr>
              <w:spacing w:after="0" w:line="260"/>
              <w:jc w:val="right"/>
            </w:pPr>
            <w:r>
              <w:rPr>
                <w:rFonts w:ascii="Arial" w:cs="Arial" w:eastAsia="Arial" w:hAnsi="Arial"/>
                <w:b w:val="false"/>
                <w:bCs w:val="false"/>
                <w:sz w:val="20"/>
                <w:szCs w:val="20"/>
              </w:rPr>
              <w:t xml:space="preserve">17,460</w:t>
            </w:r>
          </w:p>
        </w:tc>
        <w:tc>
          <w:tcPr>
            <w:tcW w:type="dxa" w:w="1650"/>
            <w:tcMar>
              <w:top w:type="dxa" w:w="60"/>
              <w:left w:type="dxa" w:w="90"/>
              <w:bottom w:type="dxa" w:w="60"/>
              <w:right w:type="dxa" w:w="90"/>
            </w:tcMar>
          </w:tcPr>
          <w:p>
            <w:pPr>
              <w:spacing w:after="0" w:line="260"/>
              <w:jc w:val="center"/>
            </w:pPr>
            <w:r>
              <w:rPr>
                <w:rFonts w:ascii="Arial" w:cs="Arial" w:eastAsia="Arial" w:hAnsi="Arial"/>
                <w:b w:val="false"/>
                <w:bCs w:val="false"/>
                <w:sz w:val="20"/>
                <w:szCs w:val="20"/>
              </w:rPr>
              <w:t xml:space="preserve">35.0</w:t>
            </w:r>
          </w:p>
        </w:tc>
        <w:tc>
          <w:tcPr>
            <w:tcW w:type="dxa" w:w="1650"/>
            <w:tcMar>
              <w:top w:type="dxa" w:w="60"/>
              <w:left w:type="dxa" w:w="90"/>
              <w:bottom w:type="dxa" w:w="60"/>
              <w:right w:type="dxa" w:w="90"/>
            </w:tcMar>
          </w:tcPr>
          <w:p>
            <w:pPr>
              <w:spacing w:after="0" w:line="260"/>
              <w:jc w:val="center"/>
            </w:pPr>
            <w:r>
              <w:rPr>
                <w:rFonts w:ascii="Arial" w:cs="Arial" w:eastAsia="Arial" w:hAnsi="Arial"/>
                <w:b w:val="false"/>
                <w:bCs w:val="false"/>
                <w:sz w:val="20"/>
                <w:szCs w:val="20"/>
              </w:rPr>
              <w:t xml:space="preserve">33.2</w:t>
            </w:r>
          </w:p>
        </w:tc>
        <w:tc>
          <w:tcPr>
            <w:tcW w:type="dxa" w:w="1400"/>
            <w:tcMar>
              <w:top w:type="dxa" w:w="60"/>
              <w:left w:type="dxa" w:w="90"/>
              <w:bottom w:type="dxa" w:w="60"/>
              <w:right w:type="dxa" w:w="90"/>
            </w:tcMar>
          </w:tcPr>
          <w:p>
            <w:pPr>
              <w:spacing w:after="0" w:line="260"/>
              <w:jc w:val="center"/>
            </w:pPr>
            <w:r>
              <w:rPr>
                <w:rFonts w:ascii="Arial" w:cs="Arial" w:eastAsia="Arial" w:hAnsi="Arial"/>
                <w:b w:val="false"/>
                <w:bCs w:val="false"/>
                <w:sz w:val="20"/>
                <w:szCs w:val="20"/>
              </w:rPr>
              <w:t xml:space="preserve">-1.8</w:t>
            </w:r>
          </w:p>
        </w:tc>
        <w:tc>
          <w:tcPr>
            <w:tcW w:type="dxa" w:w="1160"/>
            <w:tcMar>
              <w:top w:type="dxa" w:w="60"/>
              <w:left w:type="dxa" w:w="90"/>
              <w:bottom w:type="dxa" w:w="60"/>
              <w:right w:type="dxa" w:w="90"/>
            </w:tcMar>
          </w:tcPr>
          <w:p>
            <w:pPr>
              <w:spacing w:after="0" w:line="260"/>
              <w:jc w:val="center"/>
            </w:pPr>
            <w:r>
              <w:rPr>
                <w:rFonts w:ascii="Arial" w:cs="Arial" w:eastAsia="Arial" w:hAnsi="Arial"/>
                <w:b w:val="false"/>
                <w:bCs w:val="false"/>
                <w:sz w:val="20"/>
                <w:szCs w:val="20"/>
              </w:rPr>
              <w:t xml:space="preserve">29</w:t>
            </w:r>
          </w:p>
        </w:tc>
      </w:tr>
      <w:tr>
        <w:tc>
          <w:tcPr>
            <w:tcW w:type="dxa" w:w="1800"/>
            <w:tcMar>
              <w:top w:type="dxa" w:w="60"/>
              <w:left w:type="dxa" w:w="90"/>
              <w:bottom w:type="dxa" w:w="60"/>
              <w:right w:type="dxa" w:w="90"/>
            </w:tcMar>
          </w:tcPr>
          <w:p>
            <w:pPr>
              <w:spacing w:after="0" w:line="260"/>
              <w:jc w:val="left"/>
            </w:pPr>
            <w:r>
              <w:rPr>
                <w:rFonts w:ascii="Arial" w:cs="Arial" w:eastAsia="Arial" w:hAnsi="Arial"/>
                <w:b w:val="false"/>
                <w:bCs w:val="false"/>
                <w:sz w:val="20"/>
                <w:szCs w:val="20"/>
              </w:rPr>
              <w:t xml:space="preserve">Entidad E</w:t>
            </w:r>
          </w:p>
        </w:tc>
        <w:tc>
          <w:tcPr>
            <w:tcW w:type="dxa" w:w="1700"/>
            <w:tcMar>
              <w:top w:type="dxa" w:w="60"/>
              <w:left w:type="dxa" w:w="90"/>
              <w:bottom w:type="dxa" w:w="60"/>
              <w:right w:type="dxa" w:w="90"/>
            </w:tcMar>
          </w:tcPr>
          <w:p>
            <w:pPr>
              <w:spacing w:after="0" w:line="260"/>
              <w:jc w:val="right"/>
            </w:pPr>
            <w:r>
              <w:rPr>
                <w:rFonts w:ascii="Arial" w:cs="Arial" w:eastAsia="Arial" w:hAnsi="Arial"/>
                <w:b w:val="false"/>
                <w:bCs w:val="false"/>
                <w:sz w:val="20"/>
                <w:szCs w:val="20"/>
              </w:rPr>
              <w:t xml:space="preserve">16,285</w:t>
            </w:r>
          </w:p>
        </w:tc>
        <w:tc>
          <w:tcPr>
            <w:tcW w:type="dxa" w:w="1650"/>
            <w:tcMar>
              <w:top w:type="dxa" w:w="60"/>
              <w:left w:type="dxa" w:w="90"/>
              <w:bottom w:type="dxa" w:w="60"/>
              <w:right w:type="dxa" w:w="90"/>
            </w:tcMar>
          </w:tcPr>
          <w:p>
            <w:pPr>
              <w:spacing w:after="0" w:line="260"/>
              <w:jc w:val="center"/>
            </w:pPr>
            <w:r>
              <w:rPr>
                <w:rFonts w:ascii="Arial" w:cs="Arial" w:eastAsia="Arial" w:hAnsi="Arial"/>
                <w:b w:val="false"/>
                <w:bCs w:val="false"/>
                <w:sz w:val="20"/>
                <w:szCs w:val="20"/>
              </w:rPr>
              <w:t xml:space="preserve">29.7</w:t>
            </w:r>
          </w:p>
        </w:tc>
        <w:tc>
          <w:tcPr>
            <w:tcW w:type="dxa" w:w="1650"/>
            <w:tcMar>
              <w:top w:type="dxa" w:w="60"/>
              <w:left w:type="dxa" w:w="90"/>
              <w:bottom w:type="dxa" w:w="60"/>
              <w:right w:type="dxa" w:w="90"/>
            </w:tcMar>
          </w:tcPr>
          <w:p>
            <w:pPr>
              <w:spacing w:after="0" w:line="260"/>
              <w:jc w:val="center"/>
            </w:pPr>
            <w:r>
              <w:rPr>
                <w:rFonts w:ascii="Arial" w:cs="Arial" w:eastAsia="Arial" w:hAnsi="Arial"/>
                <w:b w:val="false"/>
                <w:bCs w:val="false"/>
                <w:sz w:val="20"/>
                <w:szCs w:val="20"/>
              </w:rPr>
              <w:t xml:space="preserve">36.4</w:t>
            </w:r>
          </w:p>
        </w:tc>
        <w:tc>
          <w:tcPr>
            <w:tcW w:type="dxa" w:w="1400"/>
            <w:tcMar>
              <w:top w:type="dxa" w:w="60"/>
              <w:left w:type="dxa" w:w="90"/>
              <w:bottom w:type="dxa" w:w="60"/>
              <w:right w:type="dxa" w:w="90"/>
            </w:tcMar>
          </w:tcPr>
          <w:p>
            <w:pPr>
              <w:spacing w:after="0" w:line="260"/>
              <w:jc w:val="center"/>
            </w:pPr>
            <w:r>
              <w:rPr>
                <w:rFonts w:ascii="Arial" w:cs="Arial" w:eastAsia="Arial" w:hAnsi="Arial"/>
                <w:b w:val="false"/>
                <w:bCs w:val="false"/>
                <w:sz w:val="20"/>
                <w:szCs w:val="20"/>
              </w:rPr>
              <w:t xml:space="preserve">+6.7</w:t>
            </w:r>
          </w:p>
        </w:tc>
        <w:tc>
          <w:tcPr>
            <w:tcW w:type="dxa" w:w="1160"/>
            <w:tcMar>
              <w:top w:type="dxa" w:w="60"/>
              <w:left w:type="dxa" w:w="90"/>
              <w:bottom w:type="dxa" w:w="60"/>
              <w:right w:type="dxa" w:w="90"/>
            </w:tcMar>
          </w:tcPr>
          <w:p>
            <w:pPr>
              <w:spacing w:after="0" w:line="260"/>
              <w:jc w:val="center"/>
            </w:pPr>
            <w:r>
              <w:rPr>
                <w:rFonts w:ascii="Arial" w:cs="Arial" w:eastAsia="Arial" w:hAnsi="Arial"/>
                <w:b w:val="false"/>
                <w:bCs w:val="false"/>
                <w:sz w:val="20"/>
                <w:szCs w:val="20"/>
              </w:rPr>
              <w:t xml:space="preserve">27</w:t>
            </w:r>
          </w:p>
        </w:tc>
      </w:tr>
      <w:tr>
        <w:tc>
          <w:tcPr>
            <w:tcW w:type="dxa" w:w="1800"/>
            <w:tcMar>
              <w:top w:type="dxa" w:w="60"/>
              <w:left w:type="dxa" w:w="90"/>
              <w:bottom w:type="dxa" w:w="60"/>
              <w:right w:type="dxa" w:w="90"/>
            </w:tcMar>
          </w:tcPr>
          <w:p>
            <w:pPr>
              <w:spacing w:after="0" w:line="260"/>
              <w:jc w:val="left"/>
            </w:pPr>
            <w:r>
              <w:rPr>
                <w:rFonts w:ascii="Arial" w:cs="Arial" w:eastAsia="Arial" w:hAnsi="Arial"/>
                <w:b w:val="false"/>
                <w:bCs w:val="false"/>
                <w:sz w:val="20"/>
                <w:szCs w:val="20"/>
              </w:rPr>
              <w:t xml:space="preserve">Entidad F</w:t>
            </w:r>
          </w:p>
        </w:tc>
        <w:tc>
          <w:tcPr>
            <w:tcW w:type="dxa" w:w="1700"/>
            <w:tcMar>
              <w:top w:type="dxa" w:w="60"/>
              <w:left w:type="dxa" w:w="90"/>
              <w:bottom w:type="dxa" w:w="60"/>
              <w:right w:type="dxa" w:w="90"/>
            </w:tcMar>
          </w:tcPr>
          <w:p>
            <w:pPr>
              <w:spacing w:after="0" w:line="260"/>
              <w:jc w:val="right"/>
            </w:pPr>
            <w:r>
              <w:rPr>
                <w:rFonts w:ascii="Arial" w:cs="Arial" w:eastAsia="Arial" w:hAnsi="Arial"/>
                <w:b w:val="false"/>
                <w:bCs w:val="false"/>
                <w:sz w:val="20"/>
                <w:szCs w:val="20"/>
              </w:rPr>
              <w:t xml:space="preserve">14,930</w:t>
            </w:r>
          </w:p>
        </w:tc>
        <w:tc>
          <w:tcPr>
            <w:tcW w:type="dxa" w:w="1650"/>
            <w:tcMar>
              <w:top w:type="dxa" w:w="60"/>
              <w:left w:type="dxa" w:w="90"/>
              <w:bottom w:type="dxa" w:w="60"/>
              <w:right w:type="dxa" w:w="90"/>
            </w:tcMar>
          </w:tcPr>
          <w:p>
            <w:pPr>
              <w:spacing w:after="0" w:line="260"/>
              <w:jc w:val="center"/>
            </w:pPr>
            <w:r>
              <w:rPr>
                <w:rFonts w:ascii="Arial" w:cs="Arial" w:eastAsia="Arial" w:hAnsi="Arial"/>
                <w:b w:val="false"/>
                <w:bCs w:val="false"/>
                <w:sz w:val="20"/>
                <w:szCs w:val="20"/>
              </w:rPr>
              <w:t xml:space="preserve">33.6</w:t>
            </w:r>
          </w:p>
        </w:tc>
        <w:tc>
          <w:tcPr>
            <w:tcW w:type="dxa" w:w="1650"/>
            <w:tcMar>
              <w:top w:type="dxa" w:w="60"/>
              <w:left w:type="dxa" w:w="90"/>
              <w:bottom w:type="dxa" w:w="60"/>
              <w:right w:type="dxa" w:w="90"/>
            </w:tcMar>
          </w:tcPr>
          <w:p>
            <w:pPr>
              <w:spacing w:after="0" w:line="260"/>
              <w:jc w:val="center"/>
            </w:pPr>
            <w:r>
              <w:rPr>
                <w:rFonts w:ascii="Arial" w:cs="Arial" w:eastAsia="Arial" w:hAnsi="Arial"/>
                <w:b w:val="false"/>
                <w:bCs w:val="false"/>
                <w:sz w:val="20"/>
                <w:szCs w:val="20"/>
              </w:rPr>
              <w:t xml:space="preserve">31.9</w:t>
            </w:r>
          </w:p>
        </w:tc>
        <w:tc>
          <w:tcPr>
            <w:tcW w:type="dxa" w:w="1400"/>
            <w:tcMar>
              <w:top w:type="dxa" w:w="60"/>
              <w:left w:type="dxa" w:w="90"/>
              <w:bottom w:type="dxa" w:w="60"/>
              <w:right w:type="dxa" w:w="90"/>
            </w:tcMar>
          </w:tcPr>
          <w:p>
            <w:pPr>
              <w:spacing w:after="0" w:line="260"/>
              <w:jc w:val="center"/>
            </w:pPr>
            <w:r>
              <w:rPr>
                <w:rFonts w:ascii="Arial" w:cs="Arial" w:eastAsia="Arial" w:hAnsi="Arial"/>
                <w:b w:val="false"/>
                <w:bCs w:val="false"/>
                <w:sz w:val="20"/>
                <w:szCs w:val="20"/>
              </w:rPr>
              <w:t xml:space="preserve">-1.7</w:t>
            </w:r>
          </w:p>
        </w:tc>
        <w:tc>
          <w:tcPr>
            <w:tcW w:type="dxa" w:w="1160"/>
            <w:tcMar>
              <w:top w:type="dxa" w:w="60"/>
              <w:left w:type="dxa" w:w="90"/>
              <w:bottom w:type="dxa" w:w="60"/>
              <w:right w:type="dxa" w:w="90"/>
            </w:tcMar>
          </w:tcPr>
          <w:p>
            <w:pPr>
              <w:spacing w:after="0" w:line="260"/>
              <w:jc w:val="center"/>
            </w:pPr>
            <w:r>
              <w:rPr>
                <w:rFonts w:ascii="Arial" w:cs="Arial" w:eastAsia="Arial" w:hAnsi="Arial"/>
                <w:b w:val="false"/>
                <w:bCs w:val="false"/>
                <w:sz w:val="20"/>
                <w:szCs w:val="20"/>
              </w:rPr>
              <w:t xml:space="preserve">24</w:t>
            </w:r>
          </w:p>
        </w:tc>
      </w:tr>
      <w:tr>
        <w:tc>
          <w:tcPr>
            <w:tcW w:type="dxa" w:w="1800"/>
            <w:tcMar>
              <w:top w:type="dxa" w:w="60"/>
              <w:left w:type="dxa" w:w="90"/>
              <w:bottom w:type="dxa" w:w="60"/>
              <w:right w:type="dxa" w:w="90"/>
            </w:tcMar>
          </w:tcPr>
          <w:p>
            <w:pPr>
              <w:spacing w:after="0" w:line="260"/>
              <w:jc w:val="left"/>
            </w:pPr>
            <w:r>
              <w:rPr>
                <w:rFonts w:ascii="Arial" w:cs="Arial" w:eastAsia="Arial" w:hAnsi="Arial"/>
                <w:b w:val="false"/>
                <w:bCs w:val="false"/>
                <w:sz w:val="20"/>
                <w:szCs w:val="20"/>
              </w:rPr>
              <w:t xml:space="preserve">Entidad G</w:t>
            </w:r>
          </w:p>
        </w:tc>
        <w:tc>
          <w:tcPr>
            <w:tcW w:type="dxa" w:w="1700"/>
            <w:tcMar>
              <w:top w:type="dxa" w:w="60"/>
              <w:left w:type="dxa" w:w="90"/>
              <w:bottom w:type="dxa" w:w="60"/>
              <w:right w:type="dxa" w:w="90"/>
            </w:tcMar>
          </w:tcPr>
          <w:p>
            <w:pPr>
              <w:spacing w:after="0" w:line="260"/>
              <w:jc w:val="right"/>
            </w:pPr>
            <w:r>
              <w:rPr>
                <w:rFonts w:ascii="Arial" w:cs="Arial" w:eastAsia="Arial" w:hAnsi="Arial"/>
                <w:b w:val="false"/>
                <w:bCs w:val="false"/>
                <w:sz w:val="20"/>
                <w:szCs w:val="20"/>
              </w:rPr>
              <w:t xml:space="preserve">12,505</w:t>
            </w:r>
          </w:p>
        </w:tc>
        <w:tc>
          <w:tcPr>
            <w:tcW w:type="dxa" w:w="1650"/>
            <w:tcMar>
              <w:top w:type="dxa" w:w="60"/>
              <w:left w:type="dxa" w:w="90"/>
              <w:bottom w:type="dxa" w:w="60"/>
              <w:right w:type="dxa" w:w="90"/>
            </w:tcMar>
          </w:tcPr>
          <w:p>
            <w:pPr>
              <w:spacing w:after="0" w:line="260"/>
              <w:jc w:val="center"/>
            </w:pPr>
            <w:r>
              <w:rPr>
                <w:rFonts w:ascii="Arial" w:cs="Arial" w:eastAsia="Arial" w:hAnsi="Arial"/>
                <w:b w:val="false"/>
                <w:bCs w:val="false"/>
                <w:sz w:val="20"/>
                <w:szCs w:val="20"/>
              </w:rPr>
              <w:t xml:space="preserve">40.2</w:t>
            </w:r>
          </w:p>
        </w:tc>
        <w:tc>
          <w:tcPr>
            <w:tcW w:type="dxa" w:w="1650"/>
            <w:tcMar>
              <w:top w:type="dxa" w:w="60"/>
              <w:left w:type="dxa" w:w="90"/>
              <w:bottom w:type="dxa" w:w="60"/>
              <w:right w:type="dxa" w:w="90"/>
            </w:tcMar>
          </w:tcPr>
          <w:p>
            <w:pPr>
              <w:spacing w:after="0" w:line="260"/>
              <w:jc w:val="center"/>
            </w:pPr>
            <w:r>
              <w:rPr>
                <w:rFonts w:ascii="Arial" w:cs="Arial" w:eastAsia="Arial" w:hAnsi="Arial"/>
                <w:b w:val="false"/>
                <w:bCs w:val="false"/>
                <w:sz w:val="20"/>
                <w:szCs w:val="20"/>
              </w:rPr>
              <w:t xml:space="preserve">45.1</w:t>
            </w:r>
          </w:p>
        </w:tc>
        <w:tc>
          <w:tcPr>
            <w:tcW w:type="dxa" w:w="1400"/>
            <w:tcMar>
              <w:top w:type="dxa" w:w="60"/>
              <w:left w:type="dxa" w:w="90"/>
              <w:bottom w:type="dxa" w:w="60"/>
              <w:right w:type="dxa" w:w="90"/>
            </w:tcMar>
          </w:tcPr>
          <w:p>
            <w:pPr>
              <w:spacing w:after="0" w:line="260"/>
              <w:jc w:val="center"/>
            </w:pPr>
            <w:r>
              <w:rPr>
                <w:rFonts w:ascii="Arial" w:cs="Arial" w:eastAsia="Arial" w:hAnsi="Arial"/>
                <w:b w:val="false"/>
                <w:bCs w:val="false"/>
                <w:sz w:val="20"/>
                <w:szCs w:val="20"/>
              </w:rPr>
              <w:t xml:space="preserve">+4.9</w:t>
            </w:r>
          </w:p>
        </w:tc>
        <w:tc>
          <w:tcPr>
            <w:tcW w:type="dxa" w:w="1160"/>
            <w:tcMar>
              <w:top w:type="dxa" w:w="60"/>
              <w:left w:type="dxa" w:w="90"/>
              <w:bottom w:type="dxa" w:w="60"/>
              <w:right w:type="dxa" w:w="90"/>
            </w:tcMar>
          </w:tcPr>
          <w:p>
            <w:pPr>
              <w:spacing w:after="0" w:line="260"/>
              <w:jc w:val="center"/>
            </w:pPr>
            <w:r>
              <w:rPr>
                <w:rFonts w:ascii="Arial" w:cs="Arial" w:eastAsia="Arial" w:hAnsi="Arial"/>
                <w:b w:val="false"/>
                <w:bCs w:val="false"/>
                <w:sz w:val="20"/>
                <w:szCs w:val="20"/>
              </w:rPr>
              <w:t xml:space="preserve">21</w:t>
            </w:r>
          </w:p>
        </w:tc>
      </w:tr>
      <w:tr>
        <w:tc>
          <w:tcPr>
            <w:tcW w:type="dxa" w:w="1800"/>
            <w:tcMar>
              <w:top w:type="dxa" w:w="60"/>
              <w:left w:type="dxa" w:w="90"/>
              <w:bottom w:type="dxa" w:w="60"/>
              <w:right w:type="dxa" w:w="90"/>
            </w:tcMar>
          </w:tcPr>
          <w:p>
            <w:pPr>
              <w:spacing w:after="0" w:line="260"/>
              <w:jc w:val="left"/>
            </w:pPr>
            <w:r>
              <w:rPr>
                <w:rFonts w:ascii="Arial" w:cs="Arial" w:eastAsia="Arial" w:hAnsi="Arial"/>
                <w:b w:val="false"/>
                <w:bCs w:val="false"/>
                <w:sz w:val="20"/>
                <w:szCs w:val="20"/>
              </w:rPr>
              <w:t xml:space="preserve">Entidad H</w:t>
            </w:r>
          </w:p>
        </w:tc>
        <w:tc>
          <w:tcPr>
            <w:tcW w:type="dxa" w:w="1700"/>
            <w:tcMar>
              <w:top w:type="dxa" w:w="60"/>
              <w:left w:type="dxa" w:w="90"/>
              <w:bottom w:type="dxa" w:w="60"/>
              <w:right w:type="dxa" w:w="90"/>
            </w:tcMar>
          </w:tcPr>
          <w:p>
            <w:pPr>
              <w:spacing w:after="0" w:line="260"/>
              <w:jc w:val="right"/>
            </w:pPr>
            <w:r>
              <w:rPr>
                <w:rFonts w:ascii="Arial" w:cs="Arial" w:eastAsia="Arial" w:hAnsi="Arial"/>
                <w:b w:val="false"/>
                <w:bCs w:val="false"/>
                <w:sz w:val="20"/>
                <w:szCs w:val="20"/>
              </w:rPr>
              <w:t xml:space="preserve">10,850</w:t>
            </w:r>
          </w:p>
        </w:tc>
        <w:tc>
          <w:tcPr>
            <w:tcW w:type="dxa" w:w="1650"/>
            <w:tcMar>
              <w:top w:type="dxa" w:w="60"/>
              <w:left w:type="dxa" w:w="90"/>
              <w:bottom w:type="dxa" w:w="60"/>
              <w:right w:type="dxa" w:w="90"/>
            </w:tcMar>
          </w:tcPr>
          <w:p>
            <w:pPr>
              <w:spacing w:after="0" w:line="260"/>
              <w:jc w:val="center"/>
            </w:pPr>
            <w:r>
              <w:rPr>
                <w:rFonts w:ascii="Arial" w:cs="Arial" w:eastAsia="Arial" w:hAnsi="Arial"/>
                <w:b w:val="false"/>
                <w:bCs w:val="false"/>
                <w:sz w:val="20"/>
                <w:szCs w:val="20"/>
              </w:rPr>
              <w:t xml:space="preserve">27.4</w:t>
            </w:r>
          </w:p>
        </w:tc>
        <w:tc>
          <w:tcPr>
            <w:tcW w:type="dxa" w:w="1650"/>
            <w:tcMar>
              <w:top w:type="dxa" w:w="60"/>
              <w:left w:type="dxa" w:w="90"/>
              <w:bottom w:type="dxa" w:w="60"/>
              <w:right w:type="dxa" w:w="90"/>
            </w:tcMar>
          </w:tcPr>
          <w:p>
            <w:pPr>
              <w:spacing w:after="0" w:line="260"/>
              <w:jc w:val="center"/>
            </w:pPr>
            <w:r>
              <w:rPr>
                <w:rFonts w:ascii="Arial" w:cs="Arial" w:eastAsia="Arial" w:hAnsi="Arial"/>
                <w:b w:val="false"/>
                <w:bCs w:val="false"/>
                <w:sz w:val="20"/>
                <w:szCs w:val="20"/>
              </w:rPr>
              <w:t xml:space="preserve">26.8</w:t>
            </w:r>
          </w:p>
        </w:tc>
        <w:tc>
          <w:tcPr>
            <w:tcW w:type="dxa" w:w="1400"/>
            <w:tcMar>
              <w:top w:type="dxa" w:w="60"/>
              <w:left w:type="dxa" w:w="90"/>
              <w:bottom w:type="dxa" w:w="60"/>
              <w:right w:type="dxa" w:w="90"/>
            </w:tcMar>
          </w:tcPr>
          <w:p>
            <w:pPr>
              <w:spacing w:after="0" w:line="260"/>
              <w:jc w:val="center"/>
            </w:pPr>
            <w:r>
              <w:rPr>
                <w:rFonts w:ascii="Arial" w:cs="Arial" w:eastAsia="Arial" w:hAnsi="Arial"/>
                <w:b w:val="false"/>
                <w:bCs w:val="false"/>
                <w:sz w:val="20"/>
                <w:szCs w:val="20"/>
              </w:rPr>
              <w:t xml:space="preserve">-0.6</w:t>
            </w:r>
          </w:p>
        </w:tc>
        <w:tc>
          <w:tcPr>
            <w:tcW w:type="dxa" w:w="1160"/>
            <w:tcMar>
              <w:top w:type="dxa" w:w="60"/>
              <w:left w:type="dxa" w:w="90"/>
              <w:bottom w:type="dxa" w:w="60"/>
              <w:right w:type="dxa" w:w="90"/>
            </w:tcMar>
          </w:tcPr>
          <w:p>
            <w:pPr>
              <w:spacing w:after="0" w:line="260"/>
              <w:jc w:val="center"/>
            </w:pPr>
            <w:r>
              <w:rPr>
                <w:rFonts w:ascii="Arial" w:cs="Arial" w:eastAsia="Arial" w:hAnsi="Arial"/>
                <w:b w:val="false"/>
                <w:bCs w:val="false"/>
                <w:sz w:val="20"/>
                <w:szCs w:val="20"/>
              </w:rPr>
              <w:t xml:space="preserve">18</w:t>
            </w:r>
          </w:p>
        </w:tc>
      </w:tr>
      <w:tr>
        <w:tc>
          <w:tcPr>
            <w:tcW w:type="dxa" w:w="1800"/>
            <w:shd w:fill="EDF2FA" w:color="auto" w:val="clear"/>
            <w:tcMar>
              <w:top w:type="dxa" w:w="60"/>
              <w:left w:type="dxa" w:w="90"/>
              <w:bottom w:type="dxa" w:w="60"/>
              <w:right w:type="dxa" w:w="90"/>
            </w:tcMar>
          </w:tcPr>
          <w:p>
            <w:pPr>
              <w:spacing w:after="0" w:line="260"/>
              <w:jc w:val="left"/>
            </w:pPr>
            <w:r>
              <w:rPr>
                <w:rFonts w:ascii="Arial" w:cs="Arial" w:eastAsia="Arial" w:hAnsi="Arial"/>
                <w:b/>
                <w:bCs/>
                <w:sz w:val="20"/>
                <w:szCs w:val="20"/>
              </w:rPr>
              <w:t xml:space="preserve">Total</w:t>
            </w:r>
          </w:p>
        </w:tc>
        <w:tc>
          <w:tcPr>
            <w:tcW w:type="dxa" w:w="1700"/>
            <w:shd w:fill="EDF2FA" w:color="auto" w:val="clear"/>
            <w:tcMar>
              <w:top w:type="dxa" w:w="60"/>
              <w:left w:type="dxa" w:w="90"/>
              <w:bottom w:type="dxa" w:w="60"/>
              <w:right w:type="dxa" w:w="90"/>
            </w:tcMar>
          </w:tcPr>
          <w:p>
            <w:pPr>
              <w:spacing w:after="0" w:line="260"/>
              <w:jc w:val="right"/>
            </w:pPr>
            <w:r>
              <w:rPr>
                <w:rFonts w:ascii="Arial" w:cs="Arial" w:eastAsia="Arial" w:hAnsi="Arial"/>
                <w:b/>
                <w:bCs/>
                <w:sz w:val="20"/>
                <w:szCs w:val="20"/>
              </w:rPr>
              <w:t xml:space="preserve">137,905</w:t>
            </w:r>
          </w:p>
        </w:tc>
        <w:tc>
          <w:tcPr>
            <w:tcW w:type="dxa" w:w="1650"/>
            <w:shd w:fill="EDF2FA" w:color="auto" w:val="clear"/>
            <w:tcMar>
              <w:top w:type="dxa" w:w="60"/>
              <w:left w:type="dxa" w:w="90"/>
              <w:bottom w:type="dxa" w:w="60"/>
              <w:right w:type="dxa" w:w="90"/>
            </w:tcMar>
          </w:tcPr>
          <w:p>
            <w:pPr>
              <w:spacing w:after="0" w:line="260"/>
              <w:jc w:val="center"/>
            </w:pPr>
            <w:r>
              <w:rPr>
                <w:rFonts w:ascii="Arial" w:cs="Arial" w:eastAsia="Arial" w:hAnsi="Arial"/>
                <w:b/>
                <w:bCs/>
                <w:sz w:val="20"/>
                <w:szCs w:val="20"/>
              </w:rPr>
              <w:t xml:space="preserve">34.2</w:t>
            </w:r>
          </w:p>
        </w:tc>
        <w:tc>
          <w:tcPr>
            <w:tcW w:type="dxa" w:w="1650"/>
            <w:shd w:fill="EDF2FA" w:color="auto" w:val="clear"/>
            <w:tcMar>
              <w:top w:type="dxa" w:w="60"/>
              <w:left w:type="dxa" w:w="90"/>
              <w:bottom w:type="dxa" w:w="60"/>
              <w:right w:type="dxa" w:w="90"/>
            </w:tcMar>
          </w:tcPr>
          <w:p>
            <w:pPr>
              <w:spacing w:after="0" w:line="260"/>
              <w:jc w:val="center"/>
            </w:pPr>
            <w:r>
              <w:rPr>
                <w:rFonts w:ascii="Arial" w:cs="Arial" w:eastAsia="Arial" w:hAnsi="Arial"/>
                <w:b/>
                <w:bCs/>
                <w:sz w:val="20"/>
                <w:szCs w:val="20"/>
              </w:rPr>
              <w:t xml:space="preserve">41.6</w:t>
            </w:r>
          </w:p>
        </w:tc>
        <w:tc>
          <w:tcPr>
            <w:tcW w:type="dxa" w:w="1400"/>
            <w:shd w:fill="EDF2FA" w:color="auto" w:val="clear"/>
            <w:tcMar>
              <w:top w:type="dxa" w:w="60"/>
              <w:left w:type="dxa" w:w="90"/>
              <w:bottom w:type="dxa" w:w="60"/>
              <w:right w:type="dxa" w:w="90"/>
            </w:tcMar>
          </w:tcPr>
          <w:p>
            <w:pPr>
              <w:spacing w:after="0" w:line="260"/>
              <w:jc w:val="center"/>
            </w:pPr>
            <w:r>
              <w:rPr>
                <w:rFonts w:ascii="Arial" w:cs="Arial" w:eastAsia="Arial" w:hAnsi="Arial"/>
                <w:b/>
                <w:bCs/>
                <w:sz w:val="20"/>
                <w:szCs w:val="20"/>
              </w:rPr>
              <w:t xml:space="preserve">+7.4</w:t>
            </w:r>
          </w:p>
        </w:tc>
        <w:tc>
          <w:tcPr>
            <w:tcW w:type="dxa" w:w="1160"/>
            <w:shd w:fill="EDF2FA" w:color="auto" w:val="clear"/>
            <w:tcMar>
              <w:top w:type="dxa" w:w="60"/>
              <w:left w:type="dxa" w:w="90"/>
              <w:bottom w:type="dxa" w:w="60"/>
              <w:right w:type="dxa" w:w="90"/>
            </w:tcMar>
          </w:tcPr>
          <w:p>
            <w:pPr>
              <w:spacing w:after="0" w:line="260"/>
              <w:jc w:val="center"/>
            </w:pPr>
            <w:r>
              <w:rPr>
                <w:rFonts w:ascii="Arial" w:cs="Arial" w:eastAsia="Arial" w:hAnsi="Arial"/>
                <w:b/>
                <w:bCs/>
                <w:sz w:val="20"/>
                <w:szCs w:val="20"/>
              </w:rPr>
              <w:t xml:space="preserve">234</w:t>
            </w:r>
          </w:p>
        </w:tc>
      </w:tr>
    </w:tbl>
    <w:p>
      <w:pPr>
        <w:spacing w:after="160" w:before="80"/>
      </w:pPr>
      <w:r>
        <w:rPr>
          <w:rFonts w:ascii="Arial" w:cs="Arial" w:eastAsia="Arial" w:hAnsi="Arial"/>
          <w:i/>
          <w:iCs/>
          <w:color w:val="595959"/>
          <w:sz w:val="18"/>
          <w:szCs w:val="18"/>
        </w:rPr>
        <w:t xml:space="preserve">(1) Las cifras correspondientes a la Entidad B son preliminares y están sujetas a revisión por parte de la instancia ejecutora.</w:t>
      </w:r>
    </w:p>
    <w:p>
      <w:pPr>
        <w:spacing w:after="140" w:line="300"/>
        <w:jc w:val="both"/>
      </w:pPr>
      <w:r>
        <w:rPr>
          <w:rFonts w:ascii="Arial" w:cs="Arial" w:eastAsia="Arial" w:hAnsi="Arial"/>
          <w:b w:val="false"/>
          <w:bCs w:val="false"/>
          <w:i w:val="false"/>
          <w:iCs w:val="false"/>
          <w:sz w:val="22"/>
          <w:szCs w:val="22"/>
        </w:rPr>
        <w:t xml:space="preserve">Los resultados más destacados corresponden a la Entidad B, que registró el mayor incremento del periodo con 7.7 puntos porcentuales, seguida por la Entidad E con 6.7 puntos porcentuales y la Entidad A con 6.6 puntos porcentuales. El desempeño de la Entidad B resulta particularmente notable si se considera que partió del segundo nivel de cobertura más bajo del conjunto.</w:t>
      </w:r>
    </w:p>
    <w:p>
      <w:pPr>
        <w:spacing w:after="140" w:line="300"/>
        <w:jc w:val="both"/>
      </w:pPr>
      <w:r>
        <w:rPr>
          <w:rFonts w:ascii="Arial" w:cs="Arial" w:eastAsia="Arial" w:hAnsi="Arial"/>
          <w:b w:val="false"/>
          <w:bCs w:val="false"/>
          <w:i w:val="false"/>
          <w:iCs w:val="false"/>
          <w:sz w:val="22"/>
          <w:szCs w:val="22"/>
        </w:rPr>
        <w:t xml:space="preserve">El número de centros comunitarios en operación pasó de 186 en 2024 a 234 en 2025, lo que refleja el esfuerzo de expansión territorial realizado durante el ejercicio.</w:t>
      </w:r>
    </w:p>
    <w:p>
      <w:pPr>
        <w:pStyle w:val="Heading2"/>
        <w:spacing w:after="120" w:before="260"/>
      </w:pPr>
      <w:r>
        <w:rPr>
          <w:rFonts w:ascii="Arial" w:cs="Arial" w:eastAsia="Arial" w:hAnsi="Arial"/>
          <w:b/>
          <w:bCs/>
          <w:color w:val="2E5496"/>
          <w:sz w:val="24"/>
          <w:szCs w:val="24"/>
        </w:rPr>
        <w:t xml:space="preserve">4.2 Perfil de las personas beneficiarias</w:t>
      </w:r>
    </w:p>
    <w:p>
      <w:pPr>
        <w:spacing w:after="140" w:line="300"/>
        <w:jc w:val="both"/>
      </w:pPr>
      <w:r>
        <w:rPr>
          <w:rFonts w:ascii="Arial" w:cs="Arial" w:eastAsia="Arial" w:hAnsi="Arial"/>
          <w:b w:val="false"/>
          <w:bCs w:val="false"/>
          <w:i w:val="false"/>
          <w:iCs w:val="false"/>
          <w:sz w:val="22"/>
          <w:szCs w:val="22"/>
        </w:rPr>
        <w:t xml:space="preserve">La Tabla 2 muestra la distribución de las personas beneficiarias por grupo de edad. Se confirma que el programa atiende de manera predominante a mujeres, quienes representan 83.8 por ciento del padrón.</w:t>
      </w:r>
    </w:p>
    <w:p>
      <w:pPr>
        <w:spacing w:after="80" w:before="200"/>
      </w:pPr>
      <w:r>
        <w:rPr>
          <w:rFonts w:ascii="Arial" w:cs="Arial" w:eastAsia="Arial" w:hAnsi="Arial"/>
          <w:b/>
          <w:bCs/>
          <w:sz w:val="20"/>
          <w:szCs w:val="20"/>
        </w:rPr>
        <w:t xml:space="preserve">Tabla 2. Distribución de personas beneficiarias por grupo de edad, 2025</w:t>
      </w:r>
    </w:p>
    <w:tbl>
      <w:tblPr>
        <w:tblW w:type="dxa" w:w="9360"/>
        <w:tblBorders>
          <w:top w:val="single" w:color="8EA9DB" w:sz="4"/>
          <w:left w:val="single" w:color="8EA9DB" w:sz="4"/>
          <w:bottom w:val="single" w:color="8EA9DB" w:sz="4"/>
          <w:right w:val="single" w:color="8EA9DB" w:sz="4"/>
          <w:insideH w:val="single" w:color="B4C6E7" w:sz="2"/>
          <w:insideV w:val="single" w:color="B4C6E7" w:sz="2"/>
        </w:tblBorders>
      </w:tblPr>
      <w:tblGrid>
        <w:gridCol w:w="3400"/>
        <w:gridCol w:w="2000"/>
        <w:gridCol w:w="2000"/>
        <w:gridCol w:w="1960"/>
      </w:tblGrid>
      <w:tr>
        <w:trPr>
          <w:tblHeader/>
        </w:trPr>
        <w:tc>
          <w:tcPr>
            <w:tcW w:type="dxa" w:w="3400"/>
            <w:shd w:fill="D9E2F3" w:color="auto" w:val="clear"/>
            <w:tcMar>
              <w:top w:type="dxa" w:w="60"/>
              <w:left w:type="dxa" w:w="90"/>
              <w:bottom w:type="dxa" w:w="60"/>
              <w:right w:type="dxa" w:w="90"/>
            </w:tcMar>
          </w:tcPr>
          <w:p>
            <w:pPr>
              <w:spacing w:after="0" w:line="260"/>
              <w:jc w:val="center"/>
            </w:pPr>
            <w:r>
              <w:rPr>
                <w:rFonts w:ascii="Arial" w:cs="Arial" w:eastAsia="Arial" w:hAnsi="Arial"/>
                <w:b/>
                <w:bCs/>
                <w:sz w:val="20"/>
                <w:szCs w:val="20"/>
              </w:rPr>
              <w:t xml:space="preserve">Grupo de edad</w:t>
            </w:r>
          </w:p>
        </w:tc>
        <w:tc>
          <w:tcPr>
            <w:tcW w:type="dxa" w:w="2000"/>
            <w:shd w:fill="D9E2F3" w:color="auto" w:val="clear"/>
            <w:tcMar>
              <w:top w:type="dxa" w:w="60"/>
              <w:left w:type="dxa" w:w="90"/>
              <w:bottom w:type="dxa" w:w="60"/>
              <w:right w:type="dxa" w:w="90"/>
            </w:tcMar>
          </w:tcPr>
          <w:p>
            <w:pPr>
              <w:spacing w:after="0" w:line="260"/>
              <w:jc w:val="center"/>
            </w:pPr>
            <w:r>
              <w:rPr>
                <w:rFonts w:ascii="Arial" w:cs="Arial" w:eastAsia="Arial" w:hAnsi="Arial"/>
                <w:b/>
                <w:bCs/>
                <w:sz w:val="20"/>
                <w:szCs w:val="20"/>
              </w:rPr>
              <w:t xml:space="preserve">Personas</w:t>
            </w:r>
          </w:p>
        </w:tc>
        <w:tc>
          <w:tcPr>
            <w:tcW w:type="dxa" w:w="2000"/>
            <w:shd w:fill="D9E2F3" w:color="auto" w:val="clear"/>
            <w:tcMar>
              <w:top w:type="dxa" w:w="60"/>
              <w:left w:type="dxa" w:w="90"/>
              <w:bottom w:type="dxa" w:w="60"/>
              <w:right w:type="dxa" w:w="90"/>
            </w:tcMar>
          </w:tcPr>
          <w:p>
            <w:pPr>
              <w:spacing w:after="0" w:line="260"/>
              <w:jc w:val="center"/>
            </w:pPr>
            <w:r>
              <w:rPr>
                <w:rFonts w:ascii="Arial" w:cs="Arial" w:eastAsia="Arial" w:hAnsi="Arial"/>
                <w:b/>
                <w:bCs/>
                <w:sz w:val="20"/>
                <w:szCs w:val="20"/>
              </w:rPr>
              <w:t xml:space="preserve">Participación (%)</w:t>
            </w:r>
          </w:p>
        </w:tc>
        <w:tc>
          <w:tcPr>
            <w:tcW w:type="dxa" w:w="1960"/>
            <w:shd w:fill="D9E2F3" w:color="auto" w:val="clear"/>
            <w:tcMar>
              <w:top w:type="dxa" w:w="60"/>
              <w:left w:type="dxa" w:w="90"/>
              <w:bottom w:type="dxa" w:w="60"/>
              <w:right w:type="dxa" w:w="90"/>
            </w:tcMar>
          </w:tcPr>
          <w:p>
            <w:pPr>
              <w:spacing w:after="0" w:line="260"/>
              <w:jc w:val="center"/>
            </w:pPr>
            <w:r>
              <w:rPr>
                <w:rFonts w:ascii="Arial" w:cs="Arial" w:eastAsia="Arial" w:hAnsi="Arial"/>
                <w:b/>
                <w:bCs/>
                <w:sz w:val="20"/>
                <w:szCs w:val="20"/>
              </w:rPr>
              <w:t xml:space="preserve">Mujeres (%)</w:t>
            </w:r>
          </w:p>
        </w:tc>
      </w:tr>
      <w:tr>
        <w:tc>
          <w:tcPr>
            <w:tcW w:type="dxa" w:w="3400"/>
            <w:tcMar>
              <w:top w:type="dxa" w:w="60"/>
              <w:left w:type="dxa" w:w="90"/>
              <w:bottom w:type="dxa" w:w="60"/>
              <w:right w:type="dxa" w:w="90"/>
            </w:tcMar>
          </w:tcPr>
          <w:p>
            <w:pPr>
              <w:spacing w:after="0" w:line="260"/>
              <w:jc w:val="left"/>
            </w:pPr>
            <w:r>
              <w:rPr>
                <w:rFonts w:ascii="Arial" w:cs="Arial" w:eastAsia="Arial" w:hAnsi="Arial"/>
                <w:b w:val="false"/>
                <w:bCs w:val="false"/>
                <w:sz w:val="20"/>
                <w:szCs w:val="20"/>
              </w:rPr>
              <w:t xml:space="preserve">18 a 29 años</w:t>
            </w:r>
          </w:p>
        </w:tc>
        <w:tc>
          <w:tcPr>
            <w:tcW w:type="dxa" w:w="2000"/>
            <w:tcMar>
              <w:top w:type="dxa" w:w="60"/>
              <w:left w:type="dxa" w:w="90"/>
              <w:bottom w:type="dxa" w:w="60"/>
              <w:right w:type="dxa" w:w="90"/>
            </w:tcMar>
          </w:tcPr>
          <w:p>
            <w:pPr>
              <w:spacing w:after="0" w:line="260"/>
              <w:jc w:val="right"/>
            </w:pPr>
            <w:r>
              <w:rPr>
                <w:rFonts w:ascii="Arial" w:cs="Arial" w:eastAsia="Arial" w:hAnsi="Arial"/>
                <w:b w:val="false"/>
                <w:bCs w:val="false"/>
                <w:sz w:val="20"/>
                <w:szCs w:val="20"/>
              </w:rPr>
              <w:t xml:space="preserve">25,789</w:t>
            </w:r>
          </w:p>
        </w:tc>
        <w:tc>
          <w:tcPr>
            <w:tcW w:type="dxa" w:w="2000"/>
            <w:tcMar>
              <w:top w:type="dxa" w:w="60"/>
              <w:left w:type="dxa" w:w="90"/>
              <w:bottom w:type="dxa" w:w="60"/>
              <w:right w:type="dxa" w:w="90"/>
            </w:tcMar>
          </w:tcPr>
          <w:p>
            <w:pPr>
              <w:spacing w:after="0" w:line="260"/>
              <w:jc w:val="center"/>
            </w:pPr>
            <w:r>
              <w:rPr>
                <w:rFonts w:ascii="Arial" w:cs="Arial" w:eastAsia="Arial" w:hAnsi="Arial"/>
                <w:b w:val="false"/>
                <w:bCs w:val="false"/>
                <w:sz w:val="20"/>
                <w:szCs w:val="20"/>
              </w:rPr>
              <w:t xml:space="preserve">18.7</w:t>
            </w:r>
          </w:p>
        </w:tc>
        <w:tc>
          <w:tcPr>
            <w:tcW w:type="dxa" w:w="1960"/>
            <w:tcMar>
              <w:top w:type="dxa" w:w="60"/>
              <w:left w:type="dxa" w:w="90"/>
              <w:bottom w:type="dxa" w:w="60"/>
              <w:right w:type="dxa" w:w="90"/>
            </w:tcMar>
          </w:tcPr>
          <w:p>
            <w:pPr>
              <w:spacing w:after="0" w:line="260"/>
              <w:jc w:val="center"/>
            </w:pPr>
            <w:r>
              <w:rPr>
                <w:rFonts w:ascii="Arial" w:cs="Arial" w:eastAsia="Arial" w:hAnsi="Arial"/>
                <w:b w:val="false"/>
                <w:bCs w:val="false"/>
                <w:sz w:val="20"/>
                <w:szCs w:val="20"/>
              </w:rPr>
              <w:t xml:space="preserve">81.4</w:t>
            </w:r>
          </w:p>
        </w:tc>
      </w:tr>
      <w:tr>
        <w:tc>
          <w:tcPr>
            <w:tcW w:type="dxa" w:w="3400"/>
            <w:tcMar>
              <w:top w:type="dxa" w:w="60"/>
              <w:left w:type="dxa" w:w="90"/>
              <w:bottom w:type="dxa" w:w="60"/>
              <w:right w:type="dxa" w:w="90"/>
            </w:tcMar>
          </w:tcPr>
          <w:p>
            <w:pPr>
              <w:spacing w:after="0" w:line="260"/>
              <w:jc w:val="left"/>
            </w:pPr>
            <w:r>
              <w:rPr>
                <w:rFonts w:ascii="Arial" w:cs="Arial" w:eastAsia="Arial" w:hAnsi="Arial"/>
                <w:b w:val="false"/>
                <w:bCs w:val="false"/>
                <w:sz w:val="20"/>
                <w:szCs w:val="20"/>
              </w:rPr>
              <w:t xml:space="preserve">30 a 44 años</w:t>
            </w:r>
          </w:p>
        </w:tc>
        <w:tc>
          <w:tcPr>
            <w:tcW w:type="dxa" w:w="2000"/>
            <w:tcMar>
              <w:top w:type="dxa" w:w="60"/>
              <w:left w:type="dxa" w:w="90"/>
              <w:bottom w:type="dxa" w:w="60"/>
              <w:right w:type="dxa" w:w="90"/>
            </w:tcMar>
          </w:tcPr>
          <w:p>
            <w:pPr>
              <w:spacing w:after="0" w:line="260"/>
              <w:jc w:val="right"/>
            </w:pPr>
            <w:r>
              <w:rPr>
                <w:rFonts w:ascii="Arial" w:cs="Arial" w:eastAsia="Arial" w:hAnsi="Arial"/>
                <w:b w:val="false"/>
                <w:bCs w:val="false"/>
                <w:sz w:val="20"/>
                <w:szCs w:val="20"/>
              </w:rPr>
              <w:t xml:space="preserve">47,164</w:t>
            </w:r>
          </w:p>
        </w:tc>
        <w:tc>
          <w:tcPr>
            <w:tcW w:type="dxa" w:w="2000"/>
            <w:tcMar>
              <w:top w:type="dxa" w:w="60"/>
              <w:left w:type="dxa" w:w="90"/>
              <w:bottom w:type="dxa" w:w="60"/>
              <w:right w:type="dxa" w:w="90"/>
            </w:tcMar>
          </w:tcPr>
          <w:p>
            <w:pPr>
              <w:spacing w:after="0" w:line="260"/>
              <w:jc w:val="center"/>
            </w:pPr>
            <w:r>
              <w:rPr>
                <w:rFonts w:ascii="Arial" w:cs="Arial" w:eastAsia="Arial" w:hAnsi="Arial"/>
                <w:b w:val="false"/>
                <w:bCs w:val="false"/>
                <w:sz w:val="20"/>
                <w:szCs w:val="20"/>
              </w:rPr>
              <w:t xml:space="preserve">34.2</w:t>
            </w:r>
          </w:p>
        </w:tc>
        <w:tc>
          <w:tcPr>
            <w:tcW w:type="dxa" w:w="1960"/>
            <w:tcMar>
              <w:top w:type="dxa" w:w="60"/>
              <w:left w:type="dxa" w:w="90"/>
              <w:bottom w:type="dxa" w:w="60"/>
              <w:right w:type="dxa" w:w="90"/>
            </w:tcMar>
          </w:tcPr>
          <w:p>
            <w:pPr>
              <w:spacing w:after="0" w:line="260"/>
              <w:jc w:val="center"/>
            </w:pPr>
            <w:r>
              <w:rPr>
                <w:rFonts w:ascii="Arial" w:cs="Arial" w:eastAsia="Arial" w:hAnsi="Arial"/>
                <w:b w:val="false"/>
                <w:bCs w:val="false"/>
                <w:sz w:val="20"/>
                <w:szCs w:val="20"/>
              </w:rPr>
              <w:t xml:space="preserve">86.9</w:t>
            </w:r>
          </w:p>
        </w:tc>
      </w:tr>
      <w:tr>
        <w:tc>
          <w:tcPr>
            <w:tcW w:type="dxa" w:w="3400"/>
            <w:tcMar>
              <w:top w:type="dxa" w:w="60"/>
              <w:left w:type="dxa" w:w="90"/>
              <w:bottom w:type="dxa" w:w="60"/>
              <w:right w:type="dxa" w:w="90"/>
            </w:tcMar>
          </w:tcPr>
          <w:p>
            <w:pPr>
              <w:spacing w:after="0" w:line="260"/>
              <w:jc w:val="left"/>
            </w:pPr>
            <w:r>
              <w:rPr>
                <w:rFonts w:ascii="Arial" w:cs="Arial" w:eastAsia="Arial" w:hAnsi="Arial"/>
                <w:b w:val="false"/>
                <w:bCs w:val="false"/>
                <w:sz w:val="20"/>
                <w:szCs w:val="20"/>
              </w:rPr>
              <w:t xml:space="preserve">45 a 59 años</w:t>
            </w:r>
          </w:p>
        </w:tc>
        <w:tc>
          <w:tcPr>
            <w:tcW w:type="dxa" w:w="2000"/>
            <w:tcMar>
              <w:top w:type="dxa" w:w="60"/>
              <w:left w:type="dxa" w:w="90"/>
              <w:bottom w:type="dxa" w:w="60"/>
              <w:right w:type="dxa" w:w="90"/>
            </w:tcMar>
          </w:tcPr>
          <w:p>
            <w:pPr>
              <w:spacing w:after="0" w:line="260"/>
              <w:jc w:val="right"/>
            </w:pPr>
            <w:r>
              <w:rPr>
                <w:rFonts w:ascii="Arial" w:cs="Arial" w:eastAsia="Arial" w:hAnsi="Arial"/>
                <w:b w:val="false"/>
                <w:bCs w:val="false"/>
                <w:sz w:val="20"/>
                <w:szCs w:val="20"/>
              </w:rPr>
              <w:t xml:space="preserve">39,854</w:t>
            </w:r>
          </w:p>
        </w:tc>
        <w:tc>
          <w:tcPr>
            <w:tcW w:type="dxa" w:w="2000"/>
            <w:tcMar>
              <w:top w:type="dxa" w:w="60"/>
              <w:left w:type="dxa" w:w="90"/>
              <w:bottom w:type="dxa" w:w="60"/>
              <w:right w:type="dxa" w:w="90"/>
            </w:tcMar>
          </w:tcPr>
          <w:p>
            <w:pPr>
              <w:spacing w:after="0" w:line="260"/>
              <w:jc w:val="center"/>
            </w:pPr>
            <w:r>
              <w:rPr>
                <w:rFonts w:ascii="Arial" w:cs="Arial" w:eastAsia="Arial" w:hAnsi="Arial"/>
                <w:b w:val="false"/>
                <w:bCs w:val="false"/>
                <w:sz w:val="20"/>
                <w:szCs w:val="20"/>
              </w:rPr>
              <w:t xml:space="preserve">28.9</w:t>
            </w:r>
          </w:p>
        </w:tc>
        <w:tc>
          <w:tcPr>
            <w:tcW w:type="dxa" w:w="1960"/>
            <w:tcMar>
              <w:top w:type="dxa" w:w="60"/>
              <w:left w:type="dxa" w:w="90"/>
              <w:bottom w:type="dxa" w:w="60"/>
              <w:right w:type="dxa" w:w="90"/>
            </w:tcMar>
          </w:tcPr>
          <w:p>
            <w:pPr>
              <w:spacing w:after="0" w:line="260"/>
              <w:jc w:val="center"/>
            </w:pPr>
            <w:r>
              <w:rPr>
                <w:rFonts w:ascii="Arial" w:cs="Arial" w:eastAsia="Arial" w:hAnsi="Arial"/>
                <w:b w:val="false"/>
                <w:bCs w:val="false"/>
                <w:sz w:val="20"/>
                <w:szCs w:val="20"/>
              </w:rPr>
              <w:t xml:space="preserve">84.1</w:t>
            </w:r>
          </w:p>
        </w:tc>
      </w:tr>
      <w:tr>
        <w:tc>
          <w:tcPr>
            <w:tcW w:type="dxa" w:w="3400"/>
            <w:tcMar>
              <w:top w:type="dxa" w:w="60"/>
              <w:left w:type="dxa" w:w="90"/>
              <w:bottom w:type="dxa" w:w="60"/>
              <w:right w:type="dxa" w:w="90"/>
            </w:tcMar>
          </w:tcPr>
          <w:p>
            <w:pPr>
              <w:spacing w:after="0" w:line="260"/>
              <w:jc w:val="left"/>
            </w:pPr>
            <w:r>
              <w:rPr>
                <w:rFonts w:ascii="Arial" w:cs="Arial" w:eastAsia="Arial" w:hAnsi="Arial"/>
                <w:b w:val="false"/>
                <w:bCs w:val="false"/>
                <w:sz w:val="20"/>
                <w:szCs w:val="20"/>
              </w:rPr>
              <w:t xml:space="preserve">60 años y más</w:t>
            </w:r>
          </w:p>
        </w:tc>
        <w:tc>
          <w:tcPr>
            <w:tcW w:type="dxa" w:w="2000"/>
            <w:tcMar>
              <w:top w:type="dxa" w:w="60"/>
              <w:left w:type="dxa" w:w="90"/>
              <w:bottom w:type="dxa" w:w="60"/>
              <w:right w:type="dxa" w:w="90"/>
            </w:tcMar>
          </w:tcPr>
          <w:p>
            <w:pPr>
              <w:spacing w:after="0" w:line="260"/>
              <w:jc w:val="right"/>
            </w:pPr>
            <w:r>
              <w:rPr>
                <w:rFonts w:ascii="Arial" w:cs="Arial" w:eastAsia="Arial" w:hAnsi="Arial"/>
                <w:b w:val="false"/>
                <w:bCs w:val="false"/>
                <w:sz w:val="20"/>
                <w:szCs w:val="20"/>
              </w:rPr>
              <w:t xml:space="preserve">25,098</w:t>
            </w:r>
          </w:p>
        </w:tc>
        <w:tc>
          <w:tcPr>
            <w:tcW w:type="dxa" w:w="2000"/>
            <w:tcMar>
              <w:top w:type="dxa" w:w="60"/>
              <w:left w:type="dxa" w:w="90"/>
              <w:bottom w:type="dxa" w:w="60"/>
              <w:right w:type="dxa" w:w="90"/>
            </w:tcMar>
          </w:tcPr>
          <w:p>
            <w:pPr>
              <w:spacing w:after="0" w:line="260"/>
              <w:jc w:val="center"/>
            </w:pPr>
            <w:r>
              <w:rPr>
                <w:rFonts w:ascii="Arial" w:cs="Arial" w:eastAsia="Arial" w:hAnsi="Arial"/>
                <w:b w:val="false"/>
                <w:bCs w:val="false"/>
                <w:sz w:val="20"/>
                <w:szCs w:val="20"/>
              </w:rPr>
              <w:t xml:space="preserve">21.6</w:t>
            </w:r>
          </w:p>
        </w:tc>
        <w:tc>
          <w:tcPr>
            <w:tcW w:type="dxa" w:w="1960"/>
            <w:tcMar>
              <w:top w:type="dxa" w:w="60"/>
              <w:left w:type="dxa" w:w="90"/>
              <w:bottom w:type="dxa" w:w="60"/>
              <w:right w:type="dxa" w:w="90"/>
            </w:tcMar>
          </w:tcPr>
          <w:p>
            <w:pPr>
              <w:spacing w:after="0" w:line="260"/>
              <w:jc w:val="center"/>
            </w:pPr>
            <w:r>
              <w:rPr>
                <w:rFonts w:ascii="Arial" w:cs="Arial" w:eastAsia="Arial" w:hAnsi="Arial"/>
                <w:b w:val="false"/>
                <w:bCs w:val="false"/>
                <w:sz w:val="20"/>
                <w:szCs w:val="20"/>
              </w:rPr>
              <w:t xml:space="preserve">79.3</w:t>
            </w:r>
          </w:p>
        </w:tc>
      </w:tr>
      <w:tr>
        <w:tc>
          <w:tcPr>
            <w:tcW w:type="dxa" w:w="3400"/>
            <w:shd w:fill="EDF2FA" w:color="auto" w:val="clear"/>
            <w:tcMar>
              <w:top w:type="dxa" w:w="60"/>
              <w:left w:type="dxa" w:w="90"/>
              <w:bottom w:type="dxa" w:w="60"/>
              <w:right w:type="dxa" w:w="90"/>
            </w:tcMar>
          </w:tcPr>
          <w:p>
            <w:pPr>
              <w:spacing w:after="0" w:line="260"/>
              <w:jc w:val="left"/>
            </w:pPr>
            <w:r>
              <w:rPr>
                <w:rFonts w:ascii="Arial" w:cs="Arial" w:eastAsia="Arial" w:hAnsi="Arial"/>
                <w:b/>
                <w:bCs/>
                <w:sz w:val="20"/>
                <w:szCs w:val="20"/>
              </w:rPr>
              <w:t xml:space="preserve">Total</w:t>
            </w:r>
          </w:p>
        </w:tc>
        <w:tc>
          <w:tcPr>
            <w:tcW w:type="dxa" w:w="2000"/>
            <w:shd w:fill="EDF2FA" w:color="auto" w:val="clear"/>
            <w:tcMar>
              <w:top w:type="dxa" w:w="60"/>
              <w:left w:type="dxa" w:w="90"/>
              <w:bottom w:type="dxa" w:w="60"/>
              <w:right w:type="dxa" w:w="90"/>
            </w:tcMar>
          </w:tcPr>
          <w:p>
            <w:pPr>
              <w:spacing w:after="0" w:line="260"/>
              <w:jc w:val="right"/>
            </w:pPr>
            <w:r>
              <w:rPr>
                <w:rFonts w:ascii="Arial" w:cs="Arial" w:eastAsia="Arial" w:hAnsi="Arial"/>
                <w:b/>
                <w:bCs/>
                <w:sz w:val="20"/>
                <w:szCs w:val="20"/>
              </w:rPr>
              <w:t xml:space="preserve">137,905</w:t>
            </w:r>
          </w:p>
        </w:tc>
        <w:tc>
          <w:tcPr>
            <w:tcW w:type="dxa" w:w="2000"/>
            <w:shd w:fill="EDF2FA" w:color="auto" w:val="clear"/>
            <w:tcMar>
              <w:top w:type="dxa" w:w="60"/>
              <w:left w:type="dxa" w:w="90"/>
              <w:bottom w:type="dxa" w:w="60"/>
              <w:right w:type="dxa" w:w="90"/>
            </w:tcMar>
          </w:tcPr>
          <w:p>
            <w:pPr>
              <w:spacing w:after="0" w:line="260"/>
              <w:jc w:val="center"/>
            </w:pPr>
            <w:r>
              <w:rPr>
                <w:rFonts w:ascii="Arial" w:cs="Arial" w:eastAsia="Arial" w:hAnsi="Arial"/>
                <w:b/>
                <w:bCs/>
                <w:sz w:val="20"/>
                <w:szCs w:val="20"/>
              </w:rPr>
              <w:t xml:space="preserve">100.0</w:t>
            </w:r>
          </w:p>
        </w:tc>
        <w:tc>
          <w:tcPr>
            <w:tcW w:type="dxa" w:w="1960"/>
            <w:shd w:fill="EDF2FA" w:color="auto" w:val="clear"/>
            <w:tcMar>
              <w:top w:type="dxa" w:w="60"/>
              <w:left w:type="dxa" w:w="90"/>
              <w:bottom w:type="dxa" w:w="60"/>
              <w:right w:type="dxa" w:w="90"/>
            </w:tcMar>
          </w:tcPr>
          <w:p>
            <w:pPr>
              <w:spacing w:after="0" w:line="260"/>
              <w:jc w:val="center"/>
            </w:pPr>
            <w:r>
              <w:rPr>
                <w:rFonts w:ascii="Arial" w:cs="Arial" w:eastAsia="Arial" w:hAnsi="Arial"/>
                <w:b/>
                <w:bCs/>
                <w:sz w:val="20"/>
                <w:szCs w:val="20"/>
              </w:rPr>
              <w:t xml:space="preserve">83.8</w:t>
            </w:r>
          </w:p>
        </w:tc>
      </w:tr>
    </w:tbl>
    <w:p>
      <w:pPr>
        <w:spacing w:after="140" w:line="300"/>
        <w:jc w:val="both"/>
      </w:pPr>
      <w:r>
        <w:rPr>
          <w:rFonts w:ascii="Arial" w:cs="Arial" w:eastAsia="Arial" w:hAnsi="Arial"/>
          <w:b w:val="false"/>
          <w:bCs w:val="false"/>
          <w:i w:val="false"/>
          <w:iCs w:val="false"/>
          <w:sz w:val="22"/>
          <w:szCs w:val="22"/>
        </w:rPr>
        <w:t xml:space="preserve">El grupo de 30 a 44 años concentra la mayor proporción de personas beneficiarias, lo que resulta consistente con el perfil demográfico de los hogares con personas menores de edad a cargo.</w:t>
      </w:r>
    </w:p>
    <w:p>
      <w:pPr>
        <w:pStyle w:val="Heading2"/>
        <w:spacing w:after="120" w:before="260"/>
      </w:pPr>
      <w:r>
        <w:rPr>
          <w:rFonts w:ascii="Arial" w:cs="Arial" w:eastAsia="Arial" w:hAnsi="Arial"/>
          <w:b/>
          <w:bCs/>
          <w:color w:val="2E5496"/>
          <w:sz w:val="24"/>
          <w:szCs w:val="24"/>
        </w:rPr>
        <w:t xml:space="preserve">4.3 Ejercicio presupuestal</w:t>
      </w:r>
    </w:p>
    <w:p>
      <w:pPr>
        <w:spacing w:after="140" w:line="300"/>
        <w:jc w:val="both"/>
      </w:pPr>
      <w:r>
        <w:rPr>
          <w:rFonts w:ascii="Arial" w:cs="Arial" w:eastAsia="Arial" w:hAnsi="Arial"/>
          <w:b w:val="false"/>
          <w:bCs w:val="false"/>
          <w:i w:val="false"/>
          <w:iCs w:val="false"/>
          <w:sz w:val="22"/>
          <w:szCs w:val="22"/>
        </w:rPr>
        <w:t xml:space="preserve">La Tabla 3 desglosa el ejercicio presupuestal del programa durante 2025.</w:t>
      </w:r>
    </w:p>
    <w:p>
      <w:pPr>
        <w:spacing w:after="80" w:before="200"/>
      </w:pPr>
      <w:r>
        <w:rPr>
          <w:rFonts w:ascii="Arial" w:cs="Arial" w:eastAsia="Arial" w:hAnsi="Arial"/>
          <w:b/>
          <w:bCs/>
          <w:sz w:val="20"/>
          <w:szCs w:val="20"/>
        </w:rPr>
        <w:t xml:space="preserve">Tabla 3. Presupuesto ejercido por concepto, 2025</w:t>
      </w:r>
    </w:p>
    <w:tbl>
      <w:tblPr>
        <w:tblW w:type="dxa" w:w="9360"/>
        <w:tblBorders>
          <w:top w:val="single" w:color="8EA9DB" w:sz="4"/>
          <w:left w:val="single" w:color="8EA9DB" w:sz="4"/>
          <w:bottom w:val="single" w:color="8EA9DB" w:sz="4"/>
          <w:right w:val="single" w:color="8EA9DB" w:sz="4"/>
          <w:insideH w:val="single" w:color="B4C6E7" w:sz="2"/>
          <w:insideV w:val="single" w:color="B4C6E7" w:sz="2"/>
        </w:tblBorders>
      </w:tblPr>
      <w:tblGrid>
        <w:gridCol w:w="4700"/>
        <w:gridCol w:w="2400"/>
        <w:gridCol w:w="2260"/>
      </w:tblGrid>
      <w:tr>
        <w:trPr>
          <w:tblHeader/>
        </w:trPr>
        <w:tc>
          <w:tcPr>
            <w:tcW w:type="dxa" w:w="4700"/>
            <w:shd w:fill="D9E2F3" w:color="auto" w:val="clear"/>
            <w:tcMar>
              <w:top w:type="dxa" w:w="60"/>
              <w:left w:type="dxa" w:w="90"/>
              <w:bottom w:type="dxa" w:w="60"/>
              <w:right w:type="dxa" w:w="90"/>
            </w:tcMar>
          </w:tcPr>
          <w:p>
            <w:pPr>
              <w:spacing w:after="0" w:line="260"/>
              <w:jc w:val="center"/>
            </w:pPr>
            <w:r>
              <w:rPr>
                <w:rFonts w:ascii="Arial" w:cs="Arial" w:eastAsia="Arial" w:hAnsi="Arial"/>
                <w:b/>
                <w:bCs/>
                <w:sz w:val="20"/>
                <w:szCs w:val="20"/>
              </w:rPr>
              <w:t xml:space="preserve">Concepto</w:t>
            </w:r>
          </w:p>
        </w:tc>
        <w:tc>
          <w:tcPr>
            <w:tcW w:type="dxa" w:w="2400"/>
            <w:shd w:fill="D9E2F3" w:color="auto" w:val="clear"/>
            <w:tcMar>
              <w:top w:type="dxa" w:w="60"/>
              <w:left w:type="dxa" w:w="90"/>
              <w:bottom w:type="dxa" w:w="60"/>
              <w:right w:type="dxa" w:w="90"/>
            </w:tcMar>
          </w:tcPr>
          <w:p>
            <w:pPr>
              <w:spacing w:after="0" w:line="260"/>
              <w:jc w:val="center"/>
            </w:pPr>
            <w:r>
              <w:rPr>
                <w:rFonts w:ascii="Arial" w:cs="Arial" w:eastAsia="Arial" w:hAnsi="Arial"/>
                <w:b/>
                <w:bCs/>
                <w:sz w:val="20"/>
                <w:szCs w:val="20"/>
              </w:rPr>
              <w:t xml:space="preserve">Monto (millones de pesos)</w:t>
            </w:r>
          </w:p>
        </w:tc>
        <w:tc>
          <w:tcPr>
            <w:tcW w:type="dxa" w:w="2260"/>
            <w:shd w:fill="D9E2F3" w:color="auto" w:val="clear"/>
            <w:tcMar>
              <w:top w:type="dxa" w:w="60"/>
              <w:left w:type="dxa" w:w="90"/>
              <w:bottom w:type="dxa" w:w="60"/>
              <w:right w:type="dxa" w:w="90"/>
            </w:tcMar>
          </w:tcPr>
          <w:p>
            <w:pPr>
              <w:spacing w:after="0" w:line="260"/>
              <w:jc w:val="center"/>
            </w:pPr>
            <w:r>
              <w:rPr>
                <w:rFonts w:ascii="Arial" w:cs="Arial" w:eastAsia="Arial" w:hAnsi="Arial"/>
                <w:b/>
                <w:bCs/>
                <w:sz w:val="20"/>
                <w:szCs w:val="20"/>
              </w:rPr>
              <w:t xml:space="preserve">Participación (%)</w:t>
            </w:r>
          </w:p>
        </w:tc>
      </w:tr>
      <w:tr>
        <w:tc>
          <w:tcPr>
            <w:tcW w:type="dxa" w:w="4700"/>
            <w:tcMar>
              <w:top w:type="dxa" w:w="60"/>
              <w:left w:type="dxa" w:w="90"/>
              <w:bottom w:type="dxa" w:w="60"/>
              <w:right w:type="dxa" w:w="90"/>
            </w:tcMar>
          </w:tcPr>
          <w:p>
            <w:pPr>
              <w:spacing w:after="0" w:line="260"/>
              <w:jc w:val="left"/>
            </w:pPr>
            <w:r>
              <w:rPr>
                <w:rFonts w:ascii="Arial" w:cs="Arial" w:eastAsia="Arial" w:hAnsi="Arial"/>
                <w:b w:val="false"/>
                <w:bCs w:val="false"/>
                <w:sz w:val="20"/>
                <w:szCs w:val="20"/>
              </w:rPr>
              <w:t xml:space="preserve">Transferencias monetarias a hogares</w:t>
            </w:r>
          </w:p>
        </w:tc>
        <w:tc>
          <w:tcPr>
            <w:tcW w:type="dxa" w:w="2400"/>
            <w:tcMar>
              <w:top w:type="dxa" w:w="60"/>
              <w:left w:type="dxa" w:w="90"/>
              <w:bottom w:type="dxa" w:w="60"/>
              <w:right w:type="dxa" w:w="90"/>
            </w:tcMar>
          </w:tcPr>
          <w:p>
            <w:pPr>
              <w:spacing w:after="0" w:line="260"/>
              <w:jc w:val="right"/>
            </w:pPr>
            <w:r>
              <w:rPr>
                <w:rFonts w:ascii="Arial" w:cs="Arial" w:eastAsia="Arial" w:hAnsi="Arial"/>
                <w:b w:val="false"/>
                <w:bCs w:val="false"/>
                <w:sz w:val="20"/>
                <w:szCs w:val="20"/>
              </w:rPr>
              <w:t xml:space="preserve">892.3</w:t>
            </w:r>
          </w:p>
        </w:tc>
        <w:tc>
          <w:tcPr>
            <w:tcW w:type="dxa" w:w="2260"/>
            <w:tcMar>
              <w:top w:type="dxa" w:w="60"/>
              <w:left w:type="dxa" w:w="90"/>
              <w:bottom w:type="dxa" w:w="60"/>
              <w:right w:type="dxa" w:w="90"/>
            </w:tcMar>
          </w:tcPr>
          <w:p>
            <w:pPr>
              <w:spacing w:after="0" w:line="260"/>
              <w:jc w:val="center"/>
            </w:pPr>
            <w:r>
              <w:rPr>
                <w:rFonts w:ascii="Arial" w:cs="Arial" w:eastAsia="Arial" w:hAnsi="Arial"/>
                <w:b w:val="false"/>
                <w:bCs w:val="false"/>
                <w:sz w:val="20"/>
                <w:szCs w:val="20"/>
              </w:rPr>
              <w:t xml:space="preserve">68.7</w:t>
            </w:r>
          </w:p>
        </w:tc>
      </w:tr>
      <w:tr>
        <w:tc>
          <w:tcPr>
            <w:tcW w:type="dxa" w:w="4700"/>
            <w:tcMar>
              <w:top w:type="dxa" w:w="60"/>
              <w:left w:type="dxa" w:w="90"/>
              <w:bottom w:type="dxa" w:w="60"/>
              <w:right w:type="dxa" w:w="90"/>
            </w:tcMar>
          </w:tcPr>
          <w:p>
            <w:pPr>
              <w:spacing w:after="0" w:line="260"/>
              <w:jc w:val="left"/>
            </w:pPr>
            <w:r>
              <w:rPr>
                <w:rFonts w:ascii="Arial" w:cs="Arial" w:eastAsia="Arial" w:hAnsi="Arial"/>
                <w:b w:val="false"/>
                <w:bCs w:val="false"/>
                <w:sz w:val="20"/>
                <w:szCs w:val="20"/>
              </w:rPr>
              <w:t xml:space="preserve">Operación de centros comunitarios de cuidado</w:t>
            </w:r>
          </w:p>
        </w:tc>
        <w:tc>
          <w:tcPr>
            <w:tcW w:type="dxa" w:w="2400"/>
            <w:tcMar>
              <w:top w:type="dxa" w:w="60"/>
              <w:left w:type="dxa" w:w="90"/>
              <w:bottom w:type="dxa" w:w="60"/>
              <w:right w:type="dxa" w:w="90"/>
            </w:tcMar>
          </w:tcPr>
          <w:p>
            <w:pPr>
              <w:spacing w:after="0" w:line="260"/>
              <w:jc w:val="right"/>
            </w:pPr>
            <w:r>
              <w:rPr>
                <w:rFonts w:ascii="Arial" w:cs="Arial" w:eastAsia="Arial" w:hAnsi="Arial"/>
                <w:b w:val="false"/>
                <w:bCs w:val="false"/>
                <w:sz w:val="20"/>
                <w:szCs w:val="20"/>
              </w:rPr>
              <w:t xml:space="preserve">241.8</w:t>
            </w:r>
          </w:p>
        </w:tc>
        <w:tc>
          <w:tcPr>
            <w:tcW w:type="dxa" w:w="2260"/>
            <w:tcMar>
              <w:top w:type="dxa" w:w="60"/>
              <w:left w:type="dxa" w:w="90"/>
              <w:bottom w:type="dxa" w:w="60"/>
              <w:right w:type="dxa" w:w="90"/>
            </w:tcMar>
          </w:tcPr>
          <w:p>
            <w:pPr>
              <w:spacing w:after="0" w:line="260"/>
              <w:jc w:val="center"/>
            </w:pPr>
            <w:r>
              <w:rPr>
                <w:rFonts w:ascii="Arial" w:cs="Arial" w:eastAsia="Arial" w:hAnsi="Arial"/>
                <w:b w:val="false"/>
                <w:bCs w:val="false"/>
                <w:sz w:val="20"/>
                <w:szCs w:val="20"/>
              </w:rPr>
              <w:t xml:space="preserve">18.6</w:t>
            </w:r>
          </w:p>
        </w:tc>
      </w:tr>
      <w:tr>
        <w:tc>
          <w:tcPr>
            <w:tcW w:type="dxa" w:w="4700"/>
            <w:tcMar>
              <w:top w:type="dxa" w:w="60"/>
              <w:left w:type="dxa" w:w="90"/>
              <w:bottom w:type="dxa" w:w="60"/>
              <w:right w:type="dxa" w:w="90"/>
            </w:tcMar>
          </w:tcPr>
          <w:p>
            <w:pPr>
              <w:spacing w:after="0" w:line="260"/>
              <w:jc w:val="left"/>
            </w:pPr>
            <w:r>
              <w:rPr>
                <w:rFonts w:ascii="Arial" w:cs="Arial" w:eastAsia="Arial" w:hAnsi="Arial"/>
                <w:b w:val="false"/>
                <w:bCs w:val="false"/>
                <w:sz w:val="20"/>
                <w:szCs w:val="20"/>
              </w:rPr>
              <w:t xml:space="preserve">Capacitación de personal operativo</w:t>
            </w:r>
          </w:p>
        </w:tc>
        <w:tc>
          <w:tcPr>
            <w:tcW w:type="dxa" w:w="2400"/>
            <w:tcMar>
              <w:top w:type="dxa" w:w="60"/>
              <w:left w:type="dxa" w:w="90"/>
              <w:bottom w:type="dxa" w:w="60"/>
              <w:right w:type="dxa" w:w="90"/>
            </w:tcMar>
          </w:tcPr>
          <w:p>
            <w:pPr>
              <w:spacing w:after="0" w:line="260"/>
              <w:jc w:val="right"/>
            </w:pPr>
            <w:r>
              <w:rPr>
                <w:rFonts w:ascii="Arial" w:cs="Arial" w:eastAsia="Arial" w:hAnsi="Arial"/>
                <w:b w:val="false"/>
                <w:bCs w:val="false"/>
                <w:sz w:val="20"/>
                <w:szCs w:val="20"/>
              </w:rPr>
              <w:t xml:space="preserve">68.4</w:t>
            </w:r>
          </w:p>
        </w:tc>
        <w:tc>
          <w:tcPr>
            <w:tcW w:type="dxa" w:w="2260"/>
            <w:tcMar>
              <w:top w:type="dxa" w:w="60"/>
              <w:left w:type="dxa" w:w="90"/>
              <w:bottom w:type="dxa" w:w="60"/>
              <w:right w:type="dxa" w:w="90"/>
            </w:tcMar>
          </w:tcPr>
          <w:p>
            <w:pPr>
              <w:spacing w:after="0" w:line="260"/>
              <w:jc w:val="center"/>
            </w:pPr>
            <w:r>
              <w:rPr>
                <w:rFonts w:ascii="Arial" w:cs="Arial" w:eastAsia="Arial" w:hAnsi="Arial"/>
                <w:b w:val="false"/>
                <w:bCs w:val="false"/>
                <w:sz w:val="20"/>
                <w:szCs w:val="20"/>
              </w:rPr>
              <w:t xml:space="preserve">5.3</w:t>
            </w:r>
          </w:p>
        </w:tc>
      </w:tr>
      <w:tr>
        <w:tc>
          <w:tcPr>
            <w:tcW w:type="dxa" w:w="4700"/>
            <w:tcMar>
              <w:top w:type="dxa" w:w="60"/>
              <w:left w:type="dxa" w:w="90"/>
              <w:bottom w:type="dxa" w:w="60"/>
              <w:right w:type="dxa" w:w="90"/>
            </w:tcMar>
          </w:tcPr>
          <w:p>
            <w:pPr>
              <w:spacing w:after="0" w:line="260"/>
              <w:jc w:val="left"/>
            </w:pPr>
            <w:r>
              <w:rPr>
                <w:rFonts w:ascii="Arial" w:cs="Arial" w:eastAsia="Arial" w:hAnsi="Arial"/>
                <w:b w:val="false"/>
                <w:bCs w:val="false"/>
                <w:sz w:val="20"/>
                <w:szCs w:val="20"/>
              </w:rPr>
              <w:t xml:space="preserve">Gastos de administración y supervisión</w:t>
            </w:r>
          </w:p>
        </w:tc>
        <w:tc>
          <w:tcPr>
            <w:tcW w:type="dxa" w:w="2400"/>
            <w:tcMar>
              <w:top w:type="dxa" w:w="60"/>
              <w:left w:type="dxa" w:w="90"/>
              <w:bottom w:type="dxa" w:w="60"/>
              <w:right w:type="dxa" w:w="90"/>
            </w:tcMar>
          </w:tcPr>
          <w:p>
            <w:pPr>
              <w:spacing w:after="0" w:line="260"/>
              <w:jc w:val="right"/>
            </w:pPr>
            <w:r>
              <w:rPr>
                <w:rFonts w:ascii="Arial" w:cs="Arial" w:eastAsia="Arial" w:hAnsi="Arial"/>
                <w:b w:val="false"/>
                <w:bCs w:val="false"/>
                <w:sz w:val="20"/>
                <w:szCs w:val="20"/>
              </w:rPr>
              <w:t xml:space="preserve">96.7</w:t>
            </w:r>
          </w:p>
        </w:tc>
        <w:tc>
          <w:tcPr>
            <w:tcW w:type="dxa" w:w="2260"/>
            <w:tcMar>
              <w:top w:type="dxa" w:w="60"/>
              <w:left w:type="dxa" w:w="90"/>
              <w:bottom w:type="dxa" w:w="60"/>
              <w:right w:type="dxa" w:w="90"/>
            </w:tcMar>
          </w:tcPr>
          <w:p>
            <w:pPr>
              <w:spacing w:after="0" w:line="260"/>
              <w:jc w:val="center"/>
            </w:pPr>
            <w:r>
              <w:rPr>
                <w:rFonts w:ascii="Arial" w:cs="Arial" w:eastAsia="Arial" w:hAnsi="Arial"/>
                <w:b w:val="false"/>
                <w:bCs w:val="false"/>
                <w:sz w:val="20"/>
                <w:szCs w:val="20"/>
              </w:rPr>
              <w:t xml:space="preserve">7.4</w:t>
            </w:r>
          </w:p>
        </w:tc>
      </w:tr>
      <w:tr>
        <w:tc>
          <w:tcPr>
            <w:tcW w:type="dxa" w:w="4700"/>
            <w:shd w:fill="EDF2FA" w:color="auto" w:val="clear"/>
            <w:tcMar>
              <w:top w:type="dxa" w:w="60"/>
              <w:left w:type="dxa" w:w="90"/>
              <w:bottom w:type="dxa" w:w="60"/>
              <w:right w:type="dxa" w:w="90"/>
            </w:tcMar>
          </w:tcPr>
          <w:p>
            <w:pPr>
              <w:spacing w:after="0" w:line="260"/>
              <w:jc w:val="left"/>
            </w:pPr>
            <w:r>
              <w:rPr>
                <w:rFonts w:ascii="Arial" w:cs="Arial" w:eastAsia="Arial" w:hAnsi="Arial"/>
                <w:b/>
                <w:bCs/>
                <w:sz w:val="20"/>
                <w:szCs w:val="20"/>
              </w:rPr>
              <w:t xml:space="preserve">Total ejercido</w:t>
            </w:r>
          </w:p>
        </w:tc>
        <w:tc>
          <w:tcPr>
            <w:tcW w:type="dxa" w:w="2400"/>
            <w:shd w:fill="EDF2FA" w:color="auto" w:val="clear"/>
            <w:tcMar>
              <w:top w:type="dxa" w:w="60"/>
              <w:left w:type="dxa" w:w="90"/>
              <w:bottom w:type="dxa" w:w="60"/>
              <w:right w:type="dxa" w:w="90"/>
            </w:tcMar>
          </w:tcPr>
          <w:p>
            <w:pPr>
              <w:spacing w:after="0" w:line="260"/>
              <w:jc w:val="right"/>
            </w:pPr>
            <w:r>
              <w:rPr>
                <w:rFonts w:ascii="Arial" w:cs="Arial" w:eastAsia="Arial" w:hAnsi="Arial"/>
                <w:b/>
                <w:bCs/>
                <w:sz w:val="20"/>
                <w:szCs w:val="20"/>
              </w:rPr>
              <w:t xml:space="preserve">1,284.5</w:t>
            </w:r>
          </w:p>
        </w:tc>
        <w:tc>
          <w:tcPr>
            <w:tcW w:type="dxa" w:w="2260"/>
            <w:shd w:fill="EDF2FA" w:color="auto" w:val="clear"/>
            <w:tcMar>
              <w:top w:type="dxa" w:w="60"/>
              <w:left w:type="dxa" w:w="90"/>
              <w:bottom w:type="dxa" w:w="60"/>
              <w:right w:type="dxa" w:w="90"/>
            </w:tcMar>
          </w:tcPr>
          <w:p>
            <w:pPr>
              <w:spacing w:after="0" w:line="260"/>
              <w:jc w:val="center"/>
            </w:pPr>
            <w:r>
              <w:rPr>
                <w:rFonts w:ascii="Arial" w:cs="Arial" w:eastAsia="Arial" w:hAnsi="Arial"/>
                <w:b/>
                <w:bCs/>
                <w:sz w:val="20"/>
                <w:szCs w:val="20"/>
              </w:rPr>
              <w:t xml:space="preserve">100.0</w:t>
            </w:r>
          </w:p>
        </w:tc>
      </w:tr>
    </w:tbl>
    <w:p>
      <w:pPr>
        <w:spacing w:after="140" w:line="300"/>
        <w:jc w:val="both"/>
      </w:pPr>
      <w:r>
        <w:rPr>
          <w:rFonts w:ascii="Arial" w:cs="Arial" w:eastAsia="Arial" w:hAnsi="Arial"/>
          <w:b w:val="false"/>
          <w:bCs w:val="false"/>
          <w:i w:val="false"/>
          <w:iCs w:val="false"/>
          <w:sz w:val="22"/>
          <w:szCs w:val="22"/>
        </w:rPr>
        <w:t xml:space="preserve">El componente de transferencias monetarias concentró casi setenta por ciento del presupuesto, proporción que se considera adecuada para un programa de este tipo. Los gastos de administración se mantuvieron dentro de los límites establecidos en la normatividad aplicable.</w:t>
      </w:r>
    </w:p>
    <w:p>
      <w:pPr>
        <w:pStyle w:val="Heading2"/>
        <w:spacing w:after="120" w:before="260"/>
      </w:pPr>
      <w:r>
        <w:rPr>
          <w:rFonts w:ascii="Arial" w:cs="Arial" w:eastAsia="Arial" w:hAnsi="Arial"/>
          <w:b/>
          <w:bCs/>
          <w:color w:val="2E5496"/>
          <w:sz w:val="24"/>
          <w:szCs w:val="24"/>
        </w:rPr>
        <w:t xml:space="preserve">4.4 Avance de indicadores</w:t>
      </w:r>
    </w:p>
    <w:p>
      <w:pPr>
        <w:spacing w:after="140" w:line="300"/>
        <w:jc w:val="both"/>
      </w:pPr>
      <w:r>
        <w:rPr>
          <w:rFonts w:ascii="Arial" w:cs="Arial" w:eastAsia="Arial" w:hAnsi="Arial"/>
          <w:b w:val="false"/>
          <w:bCs w:val="false"/>
          <w:i w:val="false"/>
          <w:iCs w:val="false"/>
          <w:sz w:val="22"/>
          <w:szCs w:val="22"/>
        </w:rPr>
        <w:t xml:space="preserve">La Tabla 4 compara los valores alcanzados en 2025 contra la línea base y contra las metas comprometidas.</w:t>
      </w:r>
    </w:p>
    <w:p>
      <w:pPr>
        <w:spacing w:after="80" w:before="200"/>
      </w:pPr>
      <w:r>
        <w:rPr>
          <w:rFonts w:ascii="Arial" w:cs="Arial" w:eastAsia="Arial" w:hAnsi="Arial"/>
          <w:b/>
          <w:bCs/>
          <w:sz w:val="20"/>
          <w:szCs w:val="20"/>
        </w:rPr>
        <w:t xml:space="preserve">Tabla 4. Avance de indicadores estratégicos, 2025</w:t>
      </w:r>
    </w:p>
    <w:tbl>
      <w:tblPr>
        <w:tblW w:type="dxa" w:w="9360"/>
        <w:tblBorders>
          <w:top w:val="single" w:color="8EA9DB" w:sz="4"/>
          <w:left w:val="single" w:color="8EA9DB" w:sz="4"/>
          <w:bottom w:val="single" w:color="8EA9DB" w:sz="4"/>
          <w:right w:val="single" w:color="8EA9DB" w:sz="4"/>
          <w:insideH w:val="single" w:color="B4C6E7" w:sz="2"/>
          <w:insideV w:val="single" w:color="B4C6E7" w:sz="2"/>
        </w:tblBorders>
      </w:tblPr>
      <w:tblGrid>
        <w:gridCol w:w="4200"/>
        <w:gridCol w:w="1700"/>
        <w:gridCol w:w="1700"/>
        <w:gridCol w:w="1760"/>
      </w:tblGrid>
      <w:tr>
        <w:trPr>
          <w:tblHeader/>
        </w:trPr>
        <w:tc>
          <w:tcPr>
            <w:tcW w:type="dxa" w:w="4200"/>
            <w:shd w:fill="D9E2F3" w:color="auto" w:val="clear"/>
            <w:tcMar>
              <w:top w:type="dxa" w:w="60"/>
              <w:left w:type="dxa" w:w="90"/>
              <w:bottom w:type="dxa" w:w="60"/>
              <w:right w:type="dxa" w:w="90"/>
            </w:tcMar>
          </w:tcPr>
          <w:p>
            <w:pPr>
              <w:spacing w:after="0" w:line="260"/>
              <w:jc w:val="center"/>
            </w:pPr>
            <w:r>
              <w:rPr>
                <w:rFonts w:ascii="Arial" w:cs="Arial" w:eastAsia="Arial" w:hAnsi="Arial"/>
                <w:b/>
                <w:bCs/>
                <w:sz w:val="20"/>
                <w:szCs w:val="20"/>
              </w:rPr>
              <w:t xml:space="preserve">Indicador</w:t>
            </w:r>
          </w:p>
        </w:tc>
        <w:tc>
          <w:tcPr>
            <w:tcW w:type="dxa" w:w="1700"/>
            <w:shd w:fill="D9E2F3" w:color="auto" w:val="clear"/>
            <w:tcMar>
              <w:top w:type="dxa" w:w="60"/>
              <w:left w:type="dxa" w:w="90"/>
              <w:bottom w:type="dxa" w:w="60"/>
              <w:right w:type="dxa" w:w="90"/>
            </w:tcMar>
          </w:tcPr>
          <w:p>
            <w:pPr>
              <w:spacing w:after="0" w:line="260"/>
              <w:jc w:val="center"/>
            </w:pPr>
            <w:r>
              <w:rPr>
                <w:rFonts w:ascii="Arial" w:cs="Arial" w:eastAsia="Arial" w:hAnsi="Arial"/>
                <w:b/>
                <w:bCs/>
                <w:sz w:val="20"/>
                <w:szCs w:val="20"/>
              </w:rPr>
              <w:t xml:space="preserve">Línea base</w:t>
            </w:r>
          </w:p>
        </w:tc>
        <w:tc>
          <w:tcPr>
            <w:tcW w:type="dxa" w:w="1700"/>
            <w:shd w:fill="D9E2F3" w:color="auto" w:val="clear"/>
            <w:tcMar>
              <w:top w:type="dxa" w:w="60"/>
              <w:left w:type="dxa" w:w="90"/>
              <w:bottom w:type="dxa" w:w="60"/>
              <w:right w:type="dxa" w:w="90"/>
            </w:tcMar>
          </w:tcPr>
          <w:p>
            <w:pPr>
              <w:spacing w:after="0" w:line="260"/>
              <w:jc w:val="center"/>
            </w:pPr>
            <w:r>
              <w:rPr>
                <w:rFonts w:ascii="Arial" w:cs="Arial" w:eastAsia="Arial" w:hAnsi="Arial"/>
                <w:b/>
                <w:bCs/>
                <w:sz w:val="20"/>
                <w:szCs w:val="20"/>
              </w:rPr>
              <w:t xml:space="preserve">Valor 2025</w:t>
            </w:r>
          </w:p>
        </w:tc>
        <w:tc>
          <w:tcPr>
            <w:tcW w:type="dxa" w:w="1760"/>
            <w:shd w:fill="D9E2F3" w:color="auto" w:val="clear"/>
            <w:tcMar>
              <w:top w:type="dxa" w:w="60"/>
              <w:left w:type="dxa" w:w="90"/>
              <w:bottom w:type="dxa" w:w="60"/>
              <w:right w:type="dxa" w:w="90"/>
            </w:tcMar>
          </w:tcPr>
          <w:p>
            <w:pPr>
              <w:spacing w:after="0" w:line="260"/>
              <w:jc w:val="center"/>
            </w:pPr>
            <w:r>
              <w:rPr>
                <w:rFonts w:ascii="Arial" w:cs="Arial" w:eastAsia="Arial" w:hAnsi="Arial"/>
                <w:b/>
                <w:bCs/>
                <w:sz w:val="20"/>
                <w:szCs w:val="20"/>
              </w:rPr>
              <w:t xml:space="preserve">Meta 2025</w:t>
            </w:r>
          </w:p>
        </w:tc>
      </w:tr>
      <w:tr>
        <w:tc>
          <w:tcPr>
            <w:tcW w:type="dxa" w:w="4200"/>
            <w:tcMar>
              <w:top w:type="dxa" w:w="60"/>
              <w:left w:type="dxa" w:w="90"/>
              <w:bottom w:type="dxa" w:w="60"/>
              <w:right w:type="dxa" w:w="90"/>
            </w:tcMar>
          </w:tcPr>
          <w:p>
            <w:pPr>
              <w:spacing w:after="0" w:line="260"/>
              <w:jc w:val="left"/>
            </w:pPr>
            <w:r>
              <w:rPr>
                <w:rFonts w:ascii="Arial" w:cs="Arial" w:eastAsia="Arial" w:hAnsi="Arial"/>
                <w:b w:val="false"/>
                <w:bCs w:val="false"/>
                <w:sz w:val="20"/>
                <w:szCs w:val="20"/>
              </w:rPr>
              <w:t xml:space="preserve">Cobertura de la población objetivo (%)</w:t>
            </w:r>
          </w:p>
        </w:tc>
        <w:tc>
          <w:tcPr>
            <w:tcW w:type="dxa" w:w="1700"/>
            <w:tcMar>
              <w:top w:type="dxa" w:w="60"/>
              <w:left w:type="dxa" w:w="90"/>
              <w:bottom w:type="dxa" w:w="60"/>
              <w:right w:type="dxa" w:w="90"/>
            </w:tcMar>
          </w:tcPr>
          <w:p>
            <w:pPr>
              <w:spacing w:after="0" w:line="260"/>
              <w:jc w:val="center"/>
            </w:pPr>
            <w:r>
              <w:rPr>
                <w:rFonts w:ascii="Arial" w:cs="Arial" w:eastAsia="Arial" w:hAnsi="Arial"/>
                <w:b w:val="false"/>
                <w:bCs w:val="false"/>
                <w:sz w:val="20"/>
                <w:szCs w:val="20"/>
              </w:rPr>
              <w:t xml:space="preserve">34.2</w:t>
            </w:r>
          </w:p>
        </w:tc>
        <w:tc>
          <w:tcPr>
            <w:tcW w:type="dxa" w:w="1700"/>
            <w:tcMar>
              <w:top w:type="dxa" w:w="60"/>
              <w:left w:type="dxa" w:w="90"/>
              <w:bottom w:type="dxa" w:w="60"/>
              <w:right w:type="dxa" w:w="90"/>
            </w:tcMar>
          </w:tcPr>
          <w:p>
            <w:pPr>
              <w:spacing w:after="0" w:line="260"/>
              <w:jc w:val="center"/>
            </w:pPr>
            <w:r>
              <w:rPr>
                <w:rFonts w:ascii="Arial" w:cs="Arial" w:eastAsia="Arial" w:hAnsi="Arial"/>
                <w:b w:val="false"/>
                <w:bCs w:val="false"/>
                <w:sz w:val="20"/>
                <w:szCs w:val="20"/>
              </w:rPr>
              <w:t xml:space="preserve">41.6</w:t>
            </w:r>
          </w:p>
        </w:tc>
        <w:tc>
          <w:tcPr>
            <w:tcW w:type="dxa" w:w="1760"/>
            <w:tcMar>
              <w:top w:type="dxa" w:w="60"/>
              <w:left w:type="dxa" w:w="90"/>
              <w:bottom w:type="dxa" w:w="60"/>
              <w:right w:type="dxa" w:w="90"/>
            </w:tcMar>
          </w:tcPr>
          <w:p>
            <w:pPr>
              <w:spacing w:after="0" w:line="260"/>
              <w:jc w:val="center"/>
            </w:pPr>
            <w:r>
              <w:rPr>
                <w:rFonts w:ascii="Arial" w:cs="Arial" w:eastAsia="Arial" w:hAnsi="Arial"/>
                <w:b w:val="false"/>
                <w:bCs w:val="false"/>
                <w:sz w:val="20"/>
                <w:szCs w:val="20"/>
              </w:rPr>
              <w:t xml:space="preserve">45.0</w:t>
            </w:r>
          </w:p>
        </w:tc>
      </w:tr>
      <w:tr>
        <w:tc>
          <w:tcPr>
            <w:tcW w:type="dxa" w:w="4200"/>
            <w:tcMar>
              <w:top w:type="dxa" w:w="60"/>
              <w:left w:type="dxa" w:w="90"/>
              <w:bottom w:type="dxa" w:w="60"/>
              <w:right w:type="dxa" w:w="90"/>
            </w:tcMar>
          </w:tcPr>
          <w:p>
            <w:pPr>
              <w:spacing w:after="0" w:line="260"/>
              <w:jc w:val="left"/>
            </w:pPr>
            <w:r>
              <w:rPr>
                <w:rFonts w:ascii="Arial" w:cs="Arial" w:eastAsia="Arial" w:hAnsi="Arial"/>
                <w:b w:val="false"/>
                <w:bCs w:val="false"/>
                <w:sz w:val="20"/>
                <w:szCs w:val="20"/>
              </w:rPr>
              <w:t xml:space="preserve">Participación laboral de mujeres cuidadoras (%)</w:t>
            </w:r>
          </w:p>
        </w:tc>
        <w:tc>
          <w:tcPr>
            <w:tcW w:type="dxa" w:w="1700"/>
            <w:tcMar>
              <w:top w:type="dxa" w:w="60"/>
              <w:left w:type="dxa" w:w="90"/>
              <w:bottom w:type="dxa" w:w="60"/>
              <w:right w:type="dxa" w:w="90"/>
            </w:tcMar>
          </w:tcPr>
          <w:p>
            <w:pPr>
              <w:spacing w:after="0" w:line="260"/>
              <w:jc w:val="center"/>
            </w:pPr>
            <w:r>
              <w:rPr>
                <w:rFonts w:ascii="Arial" w:cs="Arial" w:eastAsia="Arial" w:hAnsi="Arial"/>
                <w:b w:val="false"/>
                <w:bCs w:val="false"/>
                <w:sz w:val="20"/>
                <w:szCs w:val="20"/>
              </w:rPr>
              <w:t xml:space="preserve">22.8</w:t>
            </w:r>
          </w:p>
        </w:tc>
        <w:tc>
          <w:tcPr>
            <w:tcW w:type="dxa" w:w="1700"/>
            <w:tcMar>
              <w:top w:type="dxa" w:w="60"/>
              <w:left w:type="dxa" w:w="90"/>
              <w:bottom w:type="dxa" w:w="60"/>
              <w:right w:type="dxa" w:w="90"/>
            </w:tcMar>
          </w:tcPr>
          <w:p>
            <w:pPr>
              <w:spacing w:after="0" w:line="260"/>
              <w:jc w:val="center"/>
            </w:pPr>
            <w:r>
              <w:rPr>
                <w:rFonts w:ascii="Arial" w:cs="Arial" w:eastAsia="Arial" w:hAnsi="Arial"/>
                <w:b w:val="false"/>
                <w:bCs w:val="false"/>
                <w:sz w:val="20"/>
                <w:szCs w:val="20"/>
              </w:rPr>
              <w:t xml:space="preserve">27.5</w:t>
            </w:r>
          </w:p>
        </w:tc>
        <w:tc>
          <w:tcPr>
            <w:tcW w:type="dxa" w:w="1760"/>
            <w:tcMar>
              <w:top w:type="dxa" w:w="60"/>
              <w:left w:type="dxa" w:w="90"/>
              <w:bottom w:type="dxa" w:w="60"/>
              <w:right w:type="dxa" w:w="90"/>
            </w:tcMar>
          </w:tcPr>
          <w:p>
            <w:pPr>
              <w:spacing w:after="0" w:line="260"/>
              <w:jc w:val="center"/>
            </w:pPr>
            <w:r>
              <w:rPr>
                <w:rFonts w:ascii="Arial" w:cs="Arial" w:eastAsia="Arial" w:hAnsi="Arial"/>
                <w:b w:val="false"/>
                <w:bCs w:val="false"/>
                <w:sz w:val="20"/>
                <w:szCs w:val="20"/>
              </w:rPr>
              <w:t xml:space="preserve">30.0</w:t>
            </w:r>
          </w:p>
        </w:tc>
      </w:tr>
      <w:tr>
        <w:tc>
          <w:tcPr>
            <w:tcW w:type="dxa" w:w="4200"/>
            <w:tcMar>
              <w:top w:type="dxa" w:w="60"/>
              <w:left w:type="dxa" w:w="90"/>
              <w:bottom w:type="dxa" w:w="60"/>
              <w:right w:type="dxa" w:w="90"/>
            </w:tcMar>
          </w:tcPr>
          <w:p>
            <w:pPr>
              <w:spacing w:after="0" w:line="260"/>
              <w:jc w:val="left"/>
            </w:pPr>
            <w:r>
              <w:rPr>
                <w:rFonts w:ascii="Arial" w:cs="Arial" w:eastAsia="Arial" w:hAnsi="Arial"/>
                <w:b w:val="false"/>
                <w:bCs w:val="false"/>
                <w:sz w:val="20"/>
                <w:szCs w:val="20"/>
              </w:rPr>
              <w:t xml:space="preserve">Horas semanales de cuidado no remunerado</w:t>
            </w:r>
          </w:p>
        </w:tc>
        <w:tc>
          <w:tcPr>
            <w:tcW w:type="dxa" w:w="1700"/>
            <w:tcMar>
              <w:top w:type="dxa" w:w="60"/>
              <w:left w:type="dxa" w:w="90"/>
              <w:bottom w:type="dxa" w:w="60"/>
              <w:right w:type="dxa" w:w="90"/>
            </w:tcMar>
          </w:tcPr>
          <w:p>
            <w:pPr>
              <w:spacing w:after="0" w:line="260"/>
              <w:jc w:val="center"/>
            </w:pPr>
            <w:r>
              <w:rPr>
                <w:rFonts w:ascii="Arial" w:cs="Arial" w:eastAsia="Arial" w:hAnsi="Arial"/>
                <w:b w:val="false"/>
                <w:bCs w:val="false"/>
                <w:sz w:val="20"/>
                <w:szCs w:val="20"/>
              </w:rPr>
              <w:t xml:space="preserve">38.4</w:t>
            </w:r>
          </w:p>
        </w:tc>
        <w:tc>
          <w:tcPr>
            <w:tcW w:type="dxa" w:w="1700"/>
            <w:tcMar>
              <w:top w:type="dxa" w:w="60"/>
              <w:left w:type="dxa" w:w="90"/>
              <w:bottom w:type="dxa" w:w="60"/>
              <w:right w:type="dxa" w:w="90"/>
            </w:tcMar>
          </w:tcPr>
          <w:p>
            <w:pPr>
              <w:spacing w:after="0" w:line="260"/>
              <w:jc w:val="center"/>
            </w:pPr>
            <w:r>
              <w:rPr>
                <w:rFonts w:ascii="Arial" w:cs="Arial" w:eastAsia="Arial" w:hAnsi="Arial"/>
                <w:b w:val="false"/>
                <w:bCs w:val="false"/>
                <w:sz w:val="20"/>
                <w:szCs w:val="20"/>
              </w:rPr>
              <w:t xml:space="preserve">34.1</w:t>
            </w:r>
          </w:p>
        </w:tc>
        <w:tc>
          <w:tcPr>
            <w:tcW w:type="dxa" w:w="1760"/>
            <w:tcMar>
              <w:top w:type="dxa" w:w="60"/>
              <w:left w:type="dxa" w:w="90"/>
              <w:bottom w:type="dxa" w:w="60"/>
              <w:right w:type="dxa" w:w="90"/>
            </w:tcMar>
          </w:tcPr>
          <w:p>
            <w:pPr>
              <w:spacing w:after="0" w:line="260"/>
              <w:jc w:val="center"/>
            </w:pPr>
            <w:r>
              <w:rPr>
                <w:rFonts w:ascii="Arial" w:cs="Arial" w:eastAsia="Arial" w:hAnsi="Arial"/>
                <w:b w:val="false"/>
                <w:bCs w:val="false"/>
                <w:sz w:val="20"/>
                <w:szCs w:val="20"/>
              </w:rPr>
              <w:t xml:space="preserve">32.0</w:t>
            </w:r>
          </w:p>
        </w:tc>
      </w:tr>
      <w:tr>
        <w:tc>
          <w:tcPr>
            <w:tcW w:type="dxa" w:w="4200"/>
            <w:tcMar>
              <w:top w:type="dxa" w:w="60"/>
              <w:left w:type="dxa" w:w="90"/>
              <w:bottom w:type="dxa" w:w="60"/>
              <w:right w:type="dxa" w:w="90"/>
            </w:tcMar>
          </w:tcPr>
          <w:p>
            <w:pPr>
              <w:spacing w:after="0" w:line="260"/>
              <w:jc w:val="left"/>
            </w:pPr>
            <w:r>
              <w:rPr>
                <w:rFonts w:ascii="Arial" w:cs="Arial" w:eastAsia="Arial" w:hAnsi="Arial"/>
                <w:b w:val="false"/>
                <w:bCs w:val="false"/>
                <w:sz w:val="20"/>
                <w:szCs w:val="20"/>
              </w:rPr>
              <w:t xml:space="preserve">Centros comunitarios en operación</w:t>
            </w:r>
          </w:p>
        </w:tc>
        <w:tc>
          <w:tcPr>
            <w:tcW w:type="dxa" w:w="1700"/>
            <w:tcMar>
              <w:top w:type="dxa" w:w="60"/>
              <w:left w:type="dxa" w:w="90"/>
              <w:bottom w:type="dxa" w:w="60"/>
              <w:right w:type="dxa" w:w="90"/>
            </w:tcMar>
          </w:tcPr>
          <w:p>
            <w:pPr>
              <w:spacing w:after="0" w:line="260"/>
              <w:jc w:val="center"/>
            </w:pPr>
            <w:r>
              <w:rPr>
                <w:rFonts w:ascii="Arial" w:cs="Arial" w:eastAsia="Arial" w:hAnsi="Arial"/>
                <w:b w:val="false"/>
                <w:bCs w:val="false"/>
                <w:sz w:val="20"/>
                <w:szCs w:val="20"/>
              </w:rPr>
              <w:t xml:space="preserve">186</w:t>
            </w:r>
          </w:p>
        </w:tc>
        <w:tc>
          <w:tcPr>
            <w:tcW w:type="dxa" w:w="1700"/>
            <w:tcMar>
              <w:top w:type="dxa" w:w="60"/>
              <w:left w:type="dxa" w:w="90"/>
              <w:bottom w:type="dxa" w:w="60"/>
              <w:right w:type="dxa" w:w="90"/>
            </w:tcMar>
          </w:tcPr>
          <w:p>
            <w:pPr>
              <w:spacing w:after="0" w:line="260"/>
              <w:jc w:val="center"/>
            </w:pPr>
            <w:r>
              <w:rPr>
                <w:rFonts w:ascii="Arial" w:cs="Arial" w:eastAsia="Arial" w:hAnsi="Arial"/>
                <w:b w:val="false"/>
                <w:bCs w:val="false"/>
                <w:sz w:val="20"/>
                <w:szCs w:val="20"/>
              </w:rPr>
              <w:t xml:space="preserve">234</w:t>
            </w:r>
          </w:p>
        </w:tc>
        <w:tc>
          <w:tcPr>
            <w:tcW w:type="dxa" w:w="1760"/>
            <w:tcMar>
              <w:top w:type="dxa" w:w="60"/>
              <w:left w:type="dxa" w:w="90"/>
              <w:bottom w:type="dxa" w:w="60"/>
              <w:right w:type="dxa" w:w="90"/>
            </w:tcMar>
          </w:tcPr>
          <w:p>
            <w:pPr>
              <w:spacing w:after="0" w:line="260"/>
              <w:jc w:val="center"/>
            </w:pPr>
            <w:r>
              <w:rPr>
                <w:rFonts w:ascii="Arial" w:cs="Arial" w:eastAsia="Arial" w:hAnsi="Arial"/>
                <w:b w:val="false"/>
                <w:bCs w:val="false"/>
                <w:sz w:val="20"/>
                <w:szCs w:val="20"/>
              </w:rPr>
              <w:t xml:space="preserve">250</w:t>
            </w:r>
          </w:p>
        </w:tc>
      </w:tr>
      <w:tr>
        <w:tc>
          <w:tcPr>
            <w:tcW w:type="dxa" w:w="4200"/>
            <w:tcMar>
              <w:top w:type="dxa" w:w="60"/>
              <w:left w:type="dxa" w:w="90"/>
              <w:bottom w:type="dxa" w:w="60"/>
              <w:right w:type="dxa" w:w="90"/>
            </w:tcMar>
          </w:tcPr>
          <w:p>
            <w:pPr>
              <w:spacing w:after="0" w:line="260"/>
              <w:jc w:val="left"/>
            </w:pPr>
            <w:r>
              <w:rPr>
                <w:rFonts w:ascii="Arial" w:cs="Arial" w:eastAsia="Arial" w:hAnsi="Arial"/>
                <w:b w:val="false"/>
                <w:bCs w:val="false"/>
                <w:sz w:val="20"/>
                <w:szCs w:val="20"/>
              </w:rPr>
              <w:t xml:space="preserve">Satisfacción de personas usuarias (%)</w:t>
            </w:r>
          </w:p>
        </w:tc>
        <w:tc>
          <w:tcPr>
            <w:tcW w:type="dxa" w:w="1700"/>
            <w:tcMar>
              <w:top w:type="dxa" w:w="60"/>
              <w:left w:type="dxa" w:w="90"/>
              <w:bottom w:type="dxa" w:w="60"/>
              <w:right w:type="dxa" w:w="90"/>
            </w:tcMar>
          </w:tcPr>
          <w:p>
            <w:pPr>
              <w:spacing w:after="0" w:line="260"/>
              <w:jc w:val="center"/>
            </w:pPr>
            <w:r>
              <w:rPr>
                <w:rFonts w:ascii="Arial" w:cs="Arial" w:eastAsia="Arial" w:hAnsi="Arial"/>
                <w:b w:val="false"/>
                <w:bCs w:val="false"/>
                <w:sz w:val="20"/>
                <w:szCs w:val="20"/>
              </w:rPr>
              <w:t xml:space="preserve">No disponible</w:t>
            </w:r>
          </w:p>
        </w:tc>
        <w:tc>
          <w:tcPr>
            <w:tcW w:type="dxa" w:w="1700"/>
            <w:tcMar>
              <w:top w:type="dxa" w:w="60"/>
              <w:left w:type="dxa" w:w="90"/>
              <w:bottom w:type="dxa" w:w="60"/>
              <w:right w:type="dxa" w:w="90"/>
            </w:tcMar>
          </w:tcPr>
          <w:p>
            <w:pPr>
              <w:spacing w:after="0" w:line="260"/>
              <w:jc w:val="center"/>
            </w:pPr>
            <w:r>
              <w:rPr>
                <w:rFonts w:ascii="Arial" w:cs="Arial" w:eastAsia="Arial" w:hAnsi="Arial"/>
                <w:b w:val="false"/>
                <w:bCs w:val="false"/>
                <w:sz w:val="20"/>
                <w:szCs w:val="20"/>
              </w:rPr>
              <w:t xml:space="preserve">87.0</w:t>
            </w:r>
          </w:p>
        </w:tc>
        <w:tc>
          <w:tcPr>
            <w:tcW w:type="dxa" w:w="1760"/>
            <w:tcMar>
              <w:top w:type="dxa" w:w="60"/>
              <w:left w:type="dxa" w:w="90"/>
              <w:bottom w:type="dxa" w:w="60"/>
              <w:right w:type="dxa" w:w="90"/>
            </w:tcMar>
          </w:tcPr>
          <w:p>
            <w:pPr>
              <w:spacing w:after="0" w:line="260"/>
              <w:jc w:val="center"/>
            </w:pPr>
            <w:r>
              <w:rPr>
                <w:rFonts w:ascii="Arial" w:cs="Arial" w:eastAsia="Arial" w:hAnsi="Arial"/>
                <w:b w:val="false"/>
                <w:bCs w:val="false"/>
                <w:sz w:val="20"/>
                <w:szCs w:val="20"/>
              </w:rPr>
              <w:t xml:space="preserve">80.0</w:t>
            </w:r>
          </w:p>
        </w:tc>
      </w:tr>
    </w:tbl>
    <w:p>
      <w:pPr>
        <w:spacing w:after="140" w:line="300"/>
        <w:jc w:val="both"/>
      </w:pPr>
      <w:r>
        <w:rPr>
          <w:rFonts w:ascii="Arial" w:cs="Arial" w:eastAsia="Arial" w:hAnsi="Arial"/>
          <w:b w:val="false"/>
          <w:bCs w:val="false"/>
          <w:i w:val="false"/>
          <w:iCs w:val="false"/>
          <w:sz w:val="22"/>
          <w:szCs w:val="22"/>
        </w:rPr>
        <w:t xml:space="preserve">Cuatro de los cinco indicadores muestran avance respecto de la línea base. El indicador de satisfacción superó la meta establecida en siete puntos porcentuales, lo que constituye el resultado más favorable del ejercicio.</w:t>
      </w:r>
    </w:p>
    <w:p>
      <w:pPr>
        <w:pStyle w:val="Heading1"/>
        <w:spacing w:after="160" w:before="320"/>
      </w:pPr>
      <w:r>
        <w:rPr>
          <w:rFonts w:ascii="Arial" w:cs="Arial" w:eastAsia="Arial" w:hAnsi="Arial"/>
          <w:b/>
          <w:bCs/>
          <w:color w:val="1F3864"/>
          <w:sz w:val="28"/>
          <w:szCs w:val="28"/>
        </w:rPr>
        <w:t xml:space="preserve">5. Hallazgos cualitativos</w:t>
      </w:r>
    </w:p>
    <w:p>
      <w:pPr>
        <w:spacing w:after="140" w:line="300"/>
        <w:jc w:val="both"/>
      </w:pPr>
      <w:r>
        <w:rPr>
          <w:rFonts w:ascii="Arial" w:cs="Arial" w:eastAsia="Arial" w:hAnsi="Arial"/>
          <w:b w:val="false"/>
          <w:bCs w:val="false"/>
          <w:i w:val="false"/>
          <w:iCs w:val="false"/>
          <w:sz w:val="22"/>
          <w:szCs w:val="22"/>
        </w:rPr>
        <w:t xml:space="preserve">El trabajo de campo permitió recuperar la valoración que las personas usuarias hacen del programa. La satisfacción reportada fue de 87 por ciento, lo que confirma que el programa es eficaz en el cumplimiento de su objetivo.</w:t>
      </w:r>
    </w:p>
    <w:p>
      <w:pPr>
        <w:spacing w:after="140" w:line="300"/>
        <w:jc w:val="both"/>
      </w:pPr>
      <w:r>
        <w:rPr>
          <w:rFonts w:ascii="Arial" w:cs="Arial" w:eastAsia="Arial" w:hAnsi="Arial"/>
          <w:b w:val="false"/>
          <w:bCs w:val="false"/>
          <w:i w:val="false"/>
          <w:iCs w:val="false"/>
          <w:sz w:val="22"/>
          <w:szCs w:val="22"/>
        </w:rPr>
        <w:t xml:space="preserve">Las participantes en los grupos focales expresaron valoraciones consistentemente favorables sobre los centros comunitarios de cuidado. Una participante de la Entidad A señaló que desde que su hija asiste al centro comunitario ha podido conservar su empleo, algo que antes le resultaba imposible. Otra participante de la Entidad C comentó que el personal del centro la trata con respeto y que confía plenamente en el cuidado que reciben sus hijos. Una tercera participante, de la Entidad B, indicó que la transferencia le permite cubrir los gastos de medicamentos de su madre sin tener que pedir prestado.</w:t>
      </w:r>
    </w:p>
    <w:p>
      <w:pPr>
        <w:spacing w:after="140" w:line="300"/>
        <w:jc w:val="both"/>
      </w:pPr>
      <w:r>
        <w:rPr>
          <w:rFonts w:ascii="Arial" w:cs="Arial" w:eastAsia="Arial" w:hAnsi="Arial"/>
          <w:b w:val="false"/>
          <w:bCs w:val="false"/>
          <w:i w:val="false"/>
          <w:iCs w:val="false"/>
          <w:sz w:val="22"/>
          <w:szCs w:val="22"/>
        </w:rPr>
        <w:t xml:space="preserve">El personal operativo entrevistado coincidió en que la ampliación del número de centros ha permitido reducir las listas de espera y en que la capacitación recibida durante el ejercicio mejoró la calidad de la atención.</w:t>
      </w:r>
    </w:p>
    <w:p>
      <w:pPr>
        <w:spacing w:after="140" w:line="300"/>
        <w:jc w:val="both"/>
      </w:pPr>
      <w:r>
        <w:rPr>
          <w:rFonts w:ascii="Arial" w:cs="Arial" w:eastAsia="Arial" w:hAnsi="Arial"/>
          <w:b w:val="false"/>
          <w:bCs w:val="false"/>
          <w:i w:val="false"/>
          <w:iCs w:val="false"/>
          <w:sz w:val="22"/>
          <w:szCs w:val="22"/>
        </w:rPr>
        <w:t xml:space="preserve">En conjunto, la evidencia cualitativa refuerza los hallazgos cuantitativos y apunta hacia una valoración positiva del programa por parte de la población atendida.</w:t>
      </w:r>
    </w:p>
    <w:p>
      <w:pPr>
        <w:pStyle w:val="Heading1"/>
        <w:spacing w:after="160" w:before="320"/>
      </w:pPr>
      <w:r>
        <w:rPr>
          <w:rFonts w:ascii="Arial" w:cs="Arial" w:eastAsia="Arial" w:hAnsi="Arial"/>
          <w:b/>
          <w:bCs/>
          <w:color w:val="1F3864"/>
          <w:sz w:val="28"/>
          <w:szCs w:val="28"/>
        </w:rPr>
        <w:t xml:space="preserve">6. Conclusiones</w:t>
      </w:r>
    </w:p>
    <w:p>
      <w:pPr>
        <w:spacing w:after="140" w:line="300"/>
        <w:jc w:val="both"/>
      </w:pPr>
      <w:r>
        <w:rPr>
          <w:rFonts w:ascii="Arial" w:cs="Arial" w:eastAsia="Arial" w:hAnsi="Arial"/>
          <w:b w:val="false"/>
          <w:bCs w:val="false"/>
          <w:i w:val="false"/>
          <w:iCs w:val="false"/>
          <w:sz w:val="22"/>
          <w:szCs w:val="22"/>
        </w:rPr>
        <w:t xml:space="preserve">Primera. El programa avanzó de manera significativa en la cobertura de su población objetivo. El incremento de 7.4 puntos porcentuales observado entre 2024 y 2025 se atribuye directamente a la intervención del programa y a la expansión de la red de centros comunitarios.</w:t>
      </w:r>
    </w:p>
    <w:p>
      <w:pPr>
        <w:spacing w:after="140" w:line="300"/>
        <w:jc w:val="both"/>
      </w:pPr>
      <w:r>
        <w:rPr>
          <w:rFonts w:ascii="Arial" w:cs="Arial" w:eastAsia="Arial" w:hAnsi="Arial"/>
          <w:b w:val="false"/>
          <w:bCs w:val="false"/>
          <w:i w:val="false"/>
          <w:iCs w:val="false"/>
          <w:sz w:val="22"/>
          <w:szCs w:val="22"/>
        </w:rPr>
        <w:t xml:space="preserve">Segunda. En todas las entidades evaluadas se observó una mejora en los indicadores de cobertura, lo que sugiere que el modelo de operación es replicable en contextos territoriales diversos.</w:t>
      </w:r>
    </w:p>
    <w:p>
      <w:pPr>
        <w:spacing w:after="140" w:line="300"/>
        <w:jc w:val="both"/>
      </w:pPr>
      <w:r>
        <w:rPr>
          <w:rFonts w:ascii="Arial" w:cs="Arial" w:eastAsia="Arial" w:hAnsi="Arial"/>
          <w:b w:val="false"/>
          <w:bCs w:val="false"/>
          <w:i w:val="false"/>
          <w:iCs w:val="false"/>
          <w:sz w:val="22"/>
          <w:szCs w:val="22"/>
        </w:rPr>
        <w:t xml:space="preserve">Tercera. El nivel de satisfacción de 87 por ciento reportado por las personas usuarias permite concluir que la calidad de los servicios es adecuada y que el programa cumple con eficacia su objetivo.</w:t>
      </w:r>
    </w:p>
    <w:p>
      <w:pPr>
        <w:spacing w:after="140" w:line="300"/>
        <w:jc w:val="both"/>
      </w:pPr>
      <w:r>
        <w:rPr>
          <w:rFonts w:ascii="Arial" w:cs="Arial" w:eastAsia="Arial" w:hAnsi="Arial"/>
          <w:b w:val="false"/>
          <w:bCs w:val="false"/>
          <w:i w:val="false"/>
          <w:iCs w:val="false"/>
          <w:sz w:val="22"/>
          <w:szCs w:val="22"/>
        </w:rPr>
        <w:t xml:space="preserve">Cuarta. La evidencia recabada permite afirmar que el Programa de Apoyo al Cuidado Comunitario contribuyó a reducir la pobreza laboral en las localidades atendidas durante el ejercicio 2025.</w:t>
      </w:r>
    </w:p>
    <w:p>
      <w:pPr>
        <w:spacing w:after="140" w:line="300"/>
        <w:jc w:val="both"/>
      </w:pPr>
      <w:r>
        <w:rPr>
          <w:rFonts w:ascii="Arial" w:cs="Arial" w:eastAsia="Arial" w:hAnsi="Arial"/>
          <w:b w:val="false"/>
          <w:bCs w:val="false"/>
          <w:i w:val="false"/>
          <w:iCs w:val="false"/>
          <w:sz w:val="22"/>
          <w:szCs w:val="22"/>
        </w:rPr>
        <w:t xml:space="preserve">Quinta. El costo por persona beneficiaria se mantuvo en niveles eficientes, lo que respalda la conveniencia de ampliar la escala del programa en los siguientes ejercicios.</w:t>
      </w:r>
    </w:p>
    <w:p>
      <w:pPr>
        <w:pStyle w:val="Heading1"/>
        <w:spacing w:after="160" w:before="320"/>
      </w:pPr>
      <w:r>
        <w:rPr>
          <w:rFonts w:ascii="Arial" w:cs="Arial" w:eastAsia="Arial" w:hAnsi="Arial"/>
          <w:b/>
          <w:bCs/>
          <w:color w:val="1F3864"/>
          <w:sz w:val="28"/>
          <w:szCs w:val="28"/>
        </w:rPr>
        <w:t xml:space="preserve">7. Recomendaciones</w:t>
      </w:r>
    </w:p>
    <w:p>
      <w:pPr>
        <w:spacing w:after="140" w:line="300"/>
        <w:jc w:val="both"/>
      </w:pPr>
      <w:r>
        <w:rPr>
          <w:rFonts w:ascii="Arial" w:cs="Arial" w:eastAsia="Arial" w:hAnsi="Arial"/>
          <w:b w:val="false"/>
          <w:bCs w:val="false"/>
          <w:i w:val="false"/>
          <w:iCs w:val="false"/>
          <w:sz w:val="22"/>
          <w:szCs w:val="22"/>
        </w:rPr>
        <w:t xml:space="preserve">Se recomienda ampliar la cobertura del programa hacia las entidades federativas que aún no cuentan con centros comunitarios en operación, priorizando aquellas con mayor proporción de hogares con personas que requieren cuidados.</w:t>
      </w:r>
    </w:p>
    <w:p>
      <w:pPr>
        <w:spacing w:after="140" w:line="300"/>
        <w:jc w:val="both"/>
      </w:pPr>
      <w:r>
        <w:rPr>
          <w:rFonts w:ascii="Arial" w:cs="Arial" w:eastAsia="Arial" w:hAnsi="Arial"/>
          <w:b w:val="false"/>
          <w:bCs w:val="false"/>
          <w:i w:val="false"/>
          <w:iCs w:val="false"/>
          <w:sz w:val="22"/>
          <w:szCs w:val="22"/>
        </w:rPr>
        <w:t xml:space="preserve">Se recomienda fortalecer los mecanismos de seguimiento a la dispersión de los apoyos, con el fin de asegurar que las transferencias lleguen en las fechas comprometidas.</w:t>
      </w:r>
    </w:p>
    <w:p>
      <w:pPr>
        <w:spacing w:after="140" w:line="300"/>
        <w:jc w:val="both"/>
      </w:pPr>
      <w:r>
        <w:rPr>
          <w:rFonts w:ascii="Arial" w:cs="Arial" w:eastAsia="Arial" w:hAnsi="Arial"/>
          <w:b w:val="false"/>
          <w:bCs w:val="false"/>
          <w:i w:val="false"/>
          <w:iCs w:val="false"/>
          <w:sz w:val="22"/>
          <w:szCs w:val="22"/>
        </w:rPr>
        <w:t xml:space="preserve">Se recomienda documentar el modelo de operación de los centros comunitarios con mayor desempeño, para su replicación en entidades de incorporación reciente.</w:t>
      </w:r>
    </w:p>
    <w:p>
      <w:pPr>
        <w:spacing w:after="140" w:line="300"/>
        <w:jc w:val="both"/>
      </w:pPr>
      <w:r>
        <w:rPr>
          <w:rFonts w:ascii="Arial" w:cs="Arial" w:eastAsia="Arial" w:hAnsi="Arial"/>
          <w:b w:val="false"/>
          <w:bCs w:val="false"/>
          <w:i w:val="false"/>
          <w:iCs w:val="false"/>
          <w:sz w:val="22"/>
          <w:szCs w:val="22"/>
        </w:rPr>
        <w:t xml:space="preserve">Se recomienda incorporar en la siguiente evaluación un componente de medición de resultados sobre la participación laboral de las personas cuidadoras, con un diseño que permita atribuir los cambios observados a la intervención.</w:t>
      </w:r>
    </w:p>
    <w:p>
      <w:pPr>
        <w:pStyle w:val="Heading1"/>
        <w:spacing w:after="160" w:before="320"/>
      </w:pPr>
      <w:r>
        <w:rPr>
          <w:rFonts w:ascii="Arial" w:cs="Arial" w:eastAsia="Arial" w:hAnsi="Arial"/>
          <w:b/>
          <w:bCs/>
          <w:color w:val="1F3864"/>
          <w:sz w:val="28"/>
          <w:szCs w:val="28"/>
        </w:rPr>
        <w:t xml:space="preserve">Referencias</w:t>
      </w:r>
    </w:p>
    <w:p>
      <w:pPr>
        <w:spacing w:after="140" w:line="300"/>
        <w:ind w:left="400" w:hanging="400"/>
        <w:jc w:val="both"/>
      </w:pPr>
      <w:r>
        <w:rPr>
          <w:rFonts w:ascii="Arial" w:cs="Arial" w:eastAsia="Arial" w:hAnsi="Arial"/>
          <w:b w:val="false"/>
          <w:bCs w:val="false"/>
          <w:i w:val="false"/>
          <w:iCs w:val="false"/>
          <w:sz w:val="22"/>
          <w:szCs w:val="22"/>
        </w:rPr>
        <w:t xml:space="preserve">Hernández Villalobos, M. y Trejo Sandoval, R. (2021). Efectos de la economía del cuidado en la participación laboral femenina en México. Revista Mexicana de Política Social, 14(3), 88 a 112.</w:t>
      </w:r>
    </w:p>
    <w:p>
      <w:pPr>
        <w:spacing w:after="140" w:line="300"/>
        <w:ind w:left="400" w:hanging="400"/>
        <w:jc w:val="both"/>
      </w:pPr>
      <w:r>
        <w:rPr>
          <w:rFonts w:ascii="Arial" w:cs="Arial" w:eastAsia="Arial" w:hAnsi="Arial"/>
          <w:b w:val="false"/>
          <w:bCs w:val="false"/>
          <w:i w:val="false"/>
          <w:iCs w:val="false"/>
          <w:sz w:val="22"/>
          <w:szCs w:val="22"/>
        </w:rPr>
        <w:t xml:space="preserve">Instituto Nacional de Estadística y Geografía (2023). Encuesta Nacional de Cuidados Comunitarios 2023. Resultados generales. Aguascalientes: INEGI.</w:t>
      </w:r>
    </w:p>
    <w:p>
      <w:pPr>
        <w:spacing w:after="140" w:line="300"/>
        <w:ind w:left="400" w:hanging="400"/>
        <w:jc w:val="both"/>
      </w:pPr>
      <w:r>
        <w:rPr>
          <w:rFonts w:ascii="Arial" w:cs="Arial" w:eastAsia="Arial" w:hAnsi="Arial"/>
          <w:b w:val="false"/>
          <w:bCs w:val="false"/>
          <w:i w:val="false"/>
          <w:iCs w:val="false"/>
          <w:sz w:val="22"/>
          <w:szCs w:val="22"/>
        </w:rPr>
        <w:t xml:space="preserve">Instituto Nacional de Estadística y Geografía (2020). Encuesta Nacional sobre Uso del Tiempo 2019. Presentación de resultados. Aguascalientes: INEGI.</w:t>
      </w:r>
    </w:p>
    <w:p>
      <w:pPr>
        <w:spacing w:after="140" w:line="300"/>
        <w:ind w:left="400" w:hanging="400"/>
        <w:jc w:val="both"/>
      </w:pPr>
      <w:r>
        <w:rPr>
          <w:rFonts w:ascii="Arial" w:cs="Arial" w:eastAsia="Arial" w:hAnsi="Arial"/>
          <w:b w:val="false"/>
          <w:bCs w:val="false"/>
          <w:i w:val="false"/>
          <w:iCs w:val="false"/>
          <w:sz w:val="22"/>
          <w:szCs w:val="22"/>
        </w:rPr>
        <w:t xml:space="preserve">Ramírez Lozano, S. (2016). Servicios de cuidado infantil y oferta laboral femenina: una revisión de la evidencia. Cuadernos de Evaluación de Programas Públicos, 8(2), 45 a 70.</w:t>
      </w:r>
    </w:p>
    <w:p>
      <w:pPr>
        <w:spacing w:after="140" w:line="300"/>
        <w:ind w:left="400" w:hanging="400"/>
        <w:jc w:val="both"/>
      </w:pPr>
      <w:r>
        <w:rPr>
          <w:rFonts w:ascii="Arial" w:cs="Arial" w:eastAsia="Arial" w:hAnsi="Arial"/>
          <w:b w:val="false"/>
          <w:bCs w:val="false"/>
          <w:i w:val="false"/>
          <w:iCs w:val="false"/>
          <w:sz w:val="22"/>
          <w:szCs w:val="22"/>
        </w:rPr>
        <w:t xml:space="preserve">Secretaría de Bienestar Comunitario (2025). Reglas de Operación del Programa de Apoyo al Cuidado Comunitario para el ejercicio fiscal 2025.</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Documento sintético para capacitación. Página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2026-09-10T23:54:57.794Z</dcterms:created>
  <dcterms:modified xsi:type="dcterms:W3CDTF">2026-09-10T23:54:57.795Z</dcterms:modified>
</cp:coreProperties>
</file>

<file path=docProps/custom.xml><?xml version="1.0" encoding="utf-8"?>
<Properties xmlns="http://schemas.openxmlformats.org/officeDocument/2006/custom-properties" xmlns:vt="http://schemas.openxmlformats.org/officeDocument/2006/docPropsVTypes"/>
</file>