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rFonts w:ascii="Arial" w:cs="Arial" w:eastAsia="Arial" w:hAnsi="Arial"/>
          <w:b/>
          <w:bCs/>
          <w:color w:val="1F3864"/>
          <w:sz w:val="44"/>
          <w:szCs w:val="44"/>
        </w:rPr>
        <w:t xml:space="preserve">Expedientes de caso</w:t>
      </w:r>
    </w:p>
    <w:p>
      <w:pPr>
        <w:spacing w:after="120"/>
        <w:jc w:val="center"/>
      </w:pPr>
      <w:r>
        <w:rPr>
          <w:rFonts w:ascii="Arial" w:cs="Arial" w:eastAsia="Arial" w:hAnsi="Arial"/>
          <w:color w:val="2E5496"/>
          <w:sz w:val="26"/>
          <w:szCs w:val="26"/>
        </w:rPr>
        <w:t xml:space="preserve">Laboratorio Práctico 2. Sesión 6</w:t>
      </w:r>
    </w:p>
    <w:p>
      <w:pPr>
        <w:spacing w:after="500"/>
        <w:jc w:val="center"/>
      </w:pPr>
      <w:r>
        <w:rPr>
          <w:rFonts w:ascii="Arial" w:cs="Arial" w:eastAsia="Arial" w:hAnsi="Arial"/>
          <w:color w:val="595959"/>
          <w:sz w:val="22"/>
          <w:szCs w:val="22"/>
        </w:rPr>
        <w:t xml:space="preserve">Curso de Inteligencia Artificial Aplicada</w:t>
      </w:r>
    </w:p>
    <w:p>
      <w:pPr>
        <w:spacing w:after="130" w:line="290"/>
        <w:jc w:val="both"/>
      </w:pPr>
      <w:r>
        <w:rPr>
          <w:rFonts w:ascii="Arial" w:cs="Arial" w:eastAsia="Arial" w:hAnsi="Arial"/>
          <w:b w:val="false"/>
          <w:bCs w:val="false"/>
          <w:i w:val="false"/>
          <w:iCs w:val="false"/>
          <w:sz w:val="21"/>
          <w:szCs w:val="21"/>
        </w:rPr>
        <w:t xml:space="preserve">Los seis equipos trabajan sobre el mismo programa, el Programa de Apoyo al Cuidado Comunitario, pero cada uno recibe el expediente de una entidad federativa distinta y una pregunta de evaluación distinta. Todos comparten el mismo marco normativo, que es el extracto de Reglas de Operación que aparece a continuación.</w:t>
      </w:r>
    </w:p>
    <w:p>
      <w:pPr>
        <w:spacing w:after="130" w:line="290"/>
        <w:jc w:val="both"/>
      </w:pPr>
      <w:r>
        <w:rPr>
          <w:rFonts w:ascii="Arial" w:cs="Arial" w:eastAsia="Arial" w:hAnsi="Arial"/>
          <w:b w:val="false"/>
          <w:bCs w:val="false"/>
          <w:i w:val="false"/>
          <w:iCs w:val="false"/>
          <w:sz w:val="21"/>
          <w:szCs w:val="21"/>
        </w:rPr>
        <w:t xml:space="preserve">Ese diseño es intencional. Al final de la sesión las seis matrices de evidencia son comparables entre sí, y las contradicciones que aparecen entre entidades son parte de lo que hay que discutir. Es también la razón por la que la coevaluación cruzada funciona: para revisar la matriz de otro equipo basta con leer su expediente y el marco normativo común.</w:t>
      </w:r>
    </w:p>
    <w:p>
      <w:pPr>
        <w:spacing w:after="0" w:before="300"/>
        <w:jc w:val="center"/>
      </w:pPr>
      <w:r>
        <w:rPr>
          <w:rFonts w:ascii="Arial" w:cs="Arial" w:eastAsia="Arial" w:hAnsi="Arial"/>
          <w:b/>
          <w:bCs/>
          <w:color w:val="C00000"/>
          <w:sz w:val="18"/>
          <w:szCs w:val="18"/>
        </w:rPr>
        <w:t xml:space="preserve">AVISO: material sintético elaborado para capacitación. El programa, las entidades, las cifras, las personas y los documentos citados son ficticios y no corresponden a ningún programa real.</w:t>
      </w:r>
    </w:p>
    <w:p>
      <w:r>
        <w:br w:type="page"/>
      </w:r>
    </w:p>
    <w:p>
      <w:pPr>
        <w:pStyle w:val="Heading1"/>
        <w:spacing w:after="150" w:before="280"/>
      </w:pPr>
      <w:r>
        <w:rPr>
          <w:rFonts w:ascii="Arial" w:cs="Arial" w:eastAsia="Arial" w:hAnsi="Arial"/>
          <w:b/>
          <w:bCs/>
          <w:color w:val="1F3864"/>
          <w:sz w:val="30"/>
          <w:szCs w:val="30"/>
        </w:rPr>
        <w:t xml:space="preserve">Marco normativo común</w:t>
      </w:r>
    </w:p>
    <w:p>
      <w:pPr>
        <w:spacing w:after="130" w:line="290"/>
        <w:jc w:val="both"/>
      </w:pPr>
      <w:r>
        <w:rPr>
          <w:rFonts w:ascii="Arial" w:cs="Arial" w:eastAsia="Arial" w:hAnsi="Arial"/>
          <w:b w:val="false"/>
          <w:bCs w:val="false"/>
          <w:i/>
          <w:iCs/>
          <w:color w:val="595959"/>
          <w:sz w:val="21"/>
          <w:szCs w:val="21"/>
        </w:rPr>
        <w:t xml:space="preserve">Reglas de Operación del Programa de Apoyo al Cuidado Comunitario para el ejercicio fiscal 2025. Extracto de los artículos relevantes para los expedientes. Las Reglas de Operación completas constan de 32 artículos y cuatro anexos técnicos.</w:t>
      </w:r>
    </w:p>
    <w:p>
      <w:pPr>
        <w:pStyle w:val="Heading2"/>
        <w:spacing w:after="110" w:before="280"/>
      </w:pPr>
      <w:r>
        <w:rPr>
          <w:rFonts w:ascii="Arial" w:cs="Arial" w:eastAsia="Arial" w:hAnsi="Arial"/>
          <w:b/>
          <w:bCs/>
          <w:color w:val="2E5496"/>
          <w:sz w:val="24"/>
          <w:szCs w:val="24"/>
        </w:rPr>
        <w:t xml:space="preserve">Capítulo II. De la población objetivo y los criterios de elegibilidad</w:t>
      </w:r>
    </w:p>
    <w:p>
      <w:pPr>
        <w:spacing w:after="140" w:line="290"/>
        <w:jc w:val="both"/>
      </w:pPr>
      <w:r>
        <w:rPr>
          <w:rFonts w:ascii="Arial" w:cs="Arial" w:eastAsia="Arial" w:hAnsi="Arial"/>
          <w:b/>
          <w:bCs/>
          <w:sz w:val="21"/>
          <w:szCs w:val="21"/>
        </w:rPr>
        <w:t xml:space="preserve">Artículo 6. </w:t>
      </w:r>
      <w:r>
        <w:rPr>
          <w:rFonts w:ascii="Arial" w:cs="Arial" w:eastAsia="Arial" w:hAnsi="Arial"/>
          <w:sz w:val="21"/>
          <w:szCs w:val="21"/>
        </w:rPr>
        <w:t xml:space="preserve">La población objetivo del Programa son los hogares en situación de pobreza o vulnerabilidad en los que reside al menos una persona que requiere cuidados y al menos una persona cuidadora principal que destina de manera cotidiana tiempo de trabajo no remunerado a ese cuidado, ubicados en las localidades que determine el Anexo Técnico 1.</w:t>
      </w:r>
    </w:p>
    <w:p>
      <w:pPr>
        <w:spacing w:after="140" w:line="290"/>
        <w:jc w:val="both"/>
      </w:pPr>
      <w:r>
        <w:rPr>
          <w:rFonts w:ascii="Arial" w:cs="Arial" w:eastAsia="Arial" w:hAnsi="Arial"/>
          <w:b/>
          <w:bCs/>
          <w:sz w:val="21"/>
          <w:szCs w:val="21"/>
        </w:rPr>
        <w:t xml:space="preserve">Artículo 8. </w:t>
      </w:r>
      <w:r>
        <w:rPr>
          <w:rFonts w:ascii="Arial" w:cs="Arial" w:eastAsia="Arial" w:hAnsi="Arial"/>
          <w:sz w:val="21"/>
          <w:szCs w:val="21"/>
        </w:rPr>
        <w:t xml:space="preserve">Para ser persona beneficiaria del Programa se deberá cumplir con la totalidad de los siguientes criterios de elegibilidad:</w:t>
      </w:r>
    </w:p>
    <w:p>
      <w:pPr>
        <w:spacing w:after="90" w:line="285"/>
        <w:ind w:left="560" w:hanging="280"/>
        <w:jc w:val="both"/>
      </w:pPr>
      <w:r>
        <w:rPr>
          <w:rFonts w:ascii="Arial" w:cs="Arial" w:eastAsia="Arial" w:hAnsi="Arial"/>
          <w:sz w:val="21"/>
          <w:szCs w:val="21"/>
        </w:rPr>
        <w:t xml:space="preserve">I. Residir en alguna de las localidades comprendidas en el Anexo Técnico 1.</w:t>
      </w:r>
    </w:p>
    <w:p>
      <w:pPr>
        <w:spacing w:after="90" w:line="285"/>
        <w:ind w:left="560" w:hanging="280"/>
        <w:jc w:val="both"/>
      </w:pPr>
      <w:r>
        <w:rPr>
          <w:rFonts w:ascii="Arial" w:cs="Arial" w:eastAsia="Arial" w:hAnsi="Arial"/>
          <w:sz w:val="21"/>
          <w:szCs w:val="21"/>
        </w:rPr>
        <w:t xml:space="preserve">II. Acreditar la condición de persona cuidadora principal de al menos una persona que requiere cuidados, entendida como niña o niño menor de seis años, persona con discapacidad o persona adulta mayor de setenta años.</w:t>
      </w:r>
    </w:p>
    <w:p>
      <w:pPr>
        <w:spacing w:after="90" w:line="285"/>
        <w:ind w:left="560" w:hanging="280"/>
        <w:jc w:val="both"/>
      </w:pPr>
      <w:r>
        <w:rPr>
          <w:rFonts w:ascii="Arial" w:cs="Arial" w:eastAsia="Arial" w:hAnsi="Arial"/>
          <w:sz w:val="21"/>
          <w:szCs w:val="21"/>
        </w:rPr>
        <w:t xml:space="preserve">III. Haber sido incorporada al padrón mediante alguno de los mecanismos previstos en el artículo 10.</w:t>
      </w:r>
    </w:p>
    <w:p>
      <w:pPr>
        <w:spacing w:after="140" w:line="290"/>
        <w:jc w:val="both"/>
      </w:pPr>
      <w:r>
        <w:rPr>
          <w:rFonts w:ascii="Arial" w:cs="Arial" w:eastAsia="Arial" w:hAnsi="Arial"/>
          <w:b/>
          <w:bCs/>
          <w:sz w:val="21"/>
          <w:szCs w:val="21"/>
        </w:rPr>
        <w:t xml:space="preserve">Artículo 9. </w:t>
      </w:r>
      <w:r>
        <w:rPr>
          <w:rFonts w:ascii="Arial" w:cs="Arial" w:eastAsia="Arial" w:hAnsi="Arial"/>
          <w:sz w:val="21"/>
          <w:szCs w:val="21"/>
        </w:rPr>
        <w:t xml:space="preserve">Los requisitos documentales para la incorporación al Programa son exclusivamente los siguientes, sin que pueda exigirse documentación adicional:</w:t>
      </w:r>
    </w:p>
    <w:p>
      <w:pPr>
        <w:spacing w:after="90" w:line="285"/>
        <w:ind w:left="560" w:hanging="280"/>
        <w:jc w:val="both"/>
      </w:pPr>
      <w:r>
        <w:rPr>
          <w:rFonts w:ascii="Arial" w:cs="Arial" w:eastAsia="Arial" w:hAnsi="Arial"/>
          <w:sz w:val="21"/>
          <w:szCs w:val="21"/>
        </w:rPr>
        <w:t xml:space="preserve">I. Identificación oficial vigente de la persona cuidadora principal.</w:t>
      </w:r>
    </w:p>
    <w:p>
      <w:pPr>
        <w:spacing w:after="90" w:line="285"/>
        <w:ind w:left="560" w:hanging="280"/>
        <w:jc w:val="both"/>
      </w:pPr>
      <w:r>
        <w:rPr>
          <w:rFonts w:ascii="Arial" w:cs="Arial" w:eastAsia="Arial" w:hAnsi="Arial"/>
          <w:sz w:val="21"/>
          <w:szCs w:val="21"/>
        </w:rPr>
        <w:t xml:space="preserve">II. Clave Única de Registro de Población de la persona cuidadora principal.</w:t>
      </w:r>
    </w:p>
    <w:p>
      <w:pPr>
        <w:spacing w:after="90" w:line="285"/>
        <w:ind w:left="560" w:hanging="280"/>
        <w:jc w:val="both"/>
      </w:pPr>
      <w:r>
        <w:rPr>
          <w:rFonts w:ascii="Arial" w:cs="Arial" w:eastAsia="Arial" w:hAnsi="Arial"/>
          <w:sz w:val="21"/>
          <w:szCs w:val="21"/>
        </w:rPr>
        <w:t xml:space="preserve">III. Comprobante de domicilio. Se considerará comprobante de domicilio el recibo de energía eléctrica, agua o telefonía fija con antigüedad no mayor a tres meses. El comprobante no requiere estar a nombre de la persona solicitante.</w:t>
      </w:r>
    </w:p>
    <w:p>
      <w:pPr>
        <w:spacing w:after="90" w:line="285"/>
        <w:ind w:left="560" w:hanging="280"/>
        <w:jc w:val="both"/>
      </w:pPr>
      <w:r>
        <w:rPr>
          <w:rFonts w:ascii="Arial" w:cs="Arial" w:eastAsia="Arial" w:hAnsi="Arial"/>
          <w:sz w:val="21"/>
          <w:szCs w:val="21"/>
        </w:rPr>
        <w:t xml:space="preserve">IV. Acta de nacimiento de la persona que requiere cuidados.</w:t>
      </w:r>
    </w:p>
    <w:p>
      <w:pPr>
        <w:spacing w:after="90" w:line="285"/>
        <w:ind w:left="560" w:hanging="280"/>
        <w:jc w:val="both"/>
      </w:pPr>
      <w:r>
        <w:rPr>
          <w:rFonts w:ascii="Arial" w:cs="Arial" w:eastAsia="Arial" w:hAnsi="Arial"/>
          <w:sz w:val="21"/>
          <w:szCs w:val="21"/>
        </w:rPr>
        <w:t xml:space="preserve">V. Constancia médica o certificado de discapacidad, únicamente cuando la condición de cuidado derive de discapacidad o enfermedad.</w:t>
      </w:r>
    </w:p>
    <w:p>
      <w:pPr>
        <w:spacing w:after="140" w:line="290"/>
        <w:jc w:val="both"/>
      </w:pPr>
      <w:r>
        <w:rPr>
          <w:rFonts w:ascii="Arial" w:cs="Arial" w:eastAsia="Arial" w:hAnsi="Arial"/>
          <w:b/>
          <w:bCs/>
          <w:sz w:val="21"/>
          <w:szCs w:val="21"/>
        </w:rPr>
        <w:t xml:space="preserve">Artículo 11. </w:t>
      </w:r>
      <w:r>
        <w:rPr>
          <w:rFonts w:ascii="Arial" w:cs="Arial" w:eastAsia="Arial" w:hAnsi="Arial"/>
          <w:sz w:val="21"/>
          <w:szCs w:val="21"/>
        </w:rPr>
        <w:t xml:space="preserve">El Programa es incompatible con otros programas federales de transferencia monetaria dirigidos a la misma persona cuidadora principal por el mismo concepto. El Programa es compatible con programas estatales y municipales, previa declaración de la persona beneficiaria.</w:t>
      </w:r>
    </w:p>
    <w:p>
      <w:pPr>
        <w:pStyle w:val="Heading2"/>
        <w:spacing w:after="110" w:before="280"/>
      </w:pPr>
      <w:r>
        <w:rPr>
          <w:rFonts w:ascii="Arial" w:cs="Arial" w:eastAsia="Arial" w:hAnsi="Arial"/>
          <w:b/>
          <w:bCs/>
          <w:color w:val="2E5496"/>
          <w:sz w:val="24"/>
          <w:szCs w:val="24"/>
        </w:rPr>
        <w:t xml:space="preserve">Capítulo III. De los apoyos y su entrega</w:t>
      </w:r>
    </w:p>
    <w:p>
      <w:pPr>
        <w:spacing w:after="140" w:line="290"/>
        <w:jc w:val="both"/>
      </w:pPr>
      <w:r>
        <w:rPr>
          <w:rFonts w:ascii="Arial" w:cs="Arial" w:eastAsia="Arial" w:hAnsi="Arial"/>
          <w:b/>
          <w:bCs/>
          <w:sz w:val="21"/>
          <w:szCs w:val="21"/>
        </w:rPr>
        <w:t xml:space="preserve">Artículo 14. </w:t>
      </w:r>
      <w:r>
        <w:rPr>
          <w:rFonts w:ascii="Arial" w:cs="Arial" w:eastAsia="Arial" w:hAnsi="Arial"/>
          <w:sz w:val="21"/>
          <w:szCs w:val="21"/>
        </w:rPr>
        <w:t xml:space="preserve">El monto del apoyo es de 3,100 pesos bimestrales. Dicho monto se incrementará a 3,720 pesos bimestrales cuando en el hogar residan dos o más personas que requieren cuidados, y se reducirá a 2,480 pesos bimestrales cuando la persona beneficiaria reciba de manera simultánea algún apoyo estatal compatible en los términos del artículo 11.</w:t>
      </w:r>
    </w:p>
    <w:p>
      <w:pPr>
        <w:spacing w:after="140" w:line="290"/>
        <w:jc w:val="both"/>
      </w:pPr>
      <w:r>
        <w:rPr>
          <w:rFonts w:ascii="Arial" w:cs="Arial" w:eastAsia="Arial" w:hAnsi="Arial"/>
          <w:b/>
          <w:bCs/>
          <w:sz w:val="21"/>
          <w:szCs w:val="21"/>
        </w:rPr>
        <w:t xml:space="preserve">Artículo 17. </w:t>
      </w:r>
      <w:r>
        <w:rPr>
          <w:rFonts w:ascii="Arial" w:cs="Arial" w:eastAsia="Arial" w:hAnsi="Arial"/>
          <w:sz w:val="21"/>
          <w:szCs w:val="21"/>
        </w:rPr>
        <w:t xml:space="preserve">La entrega del apoyo se realizará mediante depósito en la tarjeta electrónica que para tal efecto se expida a nombre de la persona beneficiaria, dentro de los primeros quince días naturales del segundo mes de cada bimestre. La instancia ejecutora deberá informar a las personas beneficiarias, por los medios disponibles, cualquier modificación a la fecha de dispersión con al menos cinco días naturales de anticipación.</w:t>
      </w:r>
    </w:p>
    <w:p>
      <w:pPr>
        <w:pStyle w:val="Heading2"/>
        <w:spacing w:after="110" w:before="280"/>
      </w:pPr>
      <w:r>
        <w:rPr>
          <w:rFonts w:ascii="Arial" w:cs="Arial" w:eastAsia="Arial" w:hAnsi="Arial"/>
          <w:b/>
          <w:bCs/>
          <w:color w:val="2E5496"/>
          <w:sz w:val="24"/>
          <w:szCs w:val="24"/>
        </w:rPr>
        <w:t xml:space="preserve">Capítulo IV. De los centros comunitarios de cuidado</w:t>
      </w:r>
    </w:p>
    <w:p>
      <w:pPr>
        <w:spacing w:after="140" w:line="290"/>
        <w:jc w:val="both"/>
      </w:pPr>
      <w:r>
        <w:rPr>
          <w:rFonts w:ascii="Arial" w:cs="Arial" w:eastAsia="Arial" w:hAnsi="Arial"/>
          <w:b/>
          <w:bCs/>
          <w:sz w:val="21"/>
          <w:szCs w:val="21"/>
        </w:rPr>
        <w:t xml:space="preserve">Artículo 21. </w:t>
      </w:r>
      <w:r>
        <w:rPr>
          <w:rFonts w:ascii="Arial" w:cs="Arial" w:eastAsia="Arial" w:hAnsi="Arial"/>
          <w:sz w:val="21"/>
          <w:szCs w:val="21"/>
        </w:rPr>
        <w:t xml:space="preserve">Los centros comunitarios de cuidado deberán cumplir con las siguientes condiciones mínimas de operación:</w:t>
      </w:r>
    </w:p>
    <w:p>
      <w:pPr>
        <w:spacing w:after="90" w:line="285"/>
        <w:ind w:left="560" w:hanging="280"/>
        <w:jc w:val="both"/>
      </w:pPr>
      <w:r>
        <w:rPr>
          <w:rFonts w:ascii="Arial" w:cs="Arial" w:eastAsia="Arial" w:hAnsi="Arial"/>
          <w:sz w:val="21"/>
          <w:szCs w:val="21"/>
        </w:rPr>
        <w:t xml:space="preserve">I. Contar con al menos una persona responsable por cada ocho niñas y niños menores de seis años atendidos, y por cada seis personas adultas mayores o personas con discapacidad atendidas.</w:t>
      </w:r>
    </w:p>
    <w:p>
      <w:pPr>
        <w:spacing w:after="90" w:line="285"/>
        <w:ind w:left="560" w:hanging="280"/>
        <w:jc w:val="both"/>
      </w:pPr>
      <w:r>
        <w:rPr>
          <w:rFonts w:ascii="Arial" w:cs="Arial" w:eastAsia="Arial" w:hAnsi="Arial"/>
          <w:sz w:val="21"/>
          <w:szCs w:val="21"/>
        </w:rPr>
        <w:t xml:space="preserve">II. Operar durante un horario mínimo de ocho horas continuas en días hábiles.</w:t>
      </w:r>
    </w:p>
    <w:p>
      <w:pPr>
        <w:spacing w:after="90" w:line="285"/>
        <w:ind w:left="560" w:hanging="280"/>
        <w:jc w:val="both"/>
      </w:pPr>
      <w:r>
        <w:rPr>
          <w:rFonts w:ascii="Arial" w:cs="Arial" w:eastAsia="Arial" w:hAnsi="Arial"/>
          <w:sz w:val="21"/>
          <w:szCs w:val="21"/>
        </w:rPr>
        <w:t xml:space="preserve">III. Que la totalidad del personal responsable cuente con la certificación vigente en cuidado infantil o en atención a personas adultas mayores expedida por la instancia estatal correspondiente.</w:t>
      </w:r>
    </w:p>
    <w:p>
      <w:pPr>
        <w:spacing w:after="90" w:line="285"/>
        <w:ind w:left="560" w:hanging="280"/>
        <w:jc w:val="both"/>
      </w:pPr>
      <w:r>
        <w:rPr>
          <w:rFonts w:ascii="Arial" w:cs="Arial" w:eastAsia="Arial" w:hAnsi="Arial"/>
          <w:sz w:val="21"/>
          <w:szCs w:val="21"/>
        </w:rPr>
        <w:t xml:space="preserve">IV. Llevar un registro diario de asistencia de las personas atendidas.</w:t>
      </w:r>
    </w:p>
    <w:p>
      <w:pPr>
        <w:spacing w:after="90" w:line="285"/>
        <w:ind w:left="560" w:hanging="280"/>
        <w:jc w:val="both"/>
      </w:pPr>
      <w:r>
        <w:rPr>
          <w:rFonts w:ascii="Arial" w:cs="Arial" w:eastAsia="Arial" w:hAnsi="Arial"/>
          <w:sz w:val="21"/>
          <w:szCs w:val="21"/>
        </w:rPr>
        <w:t xml:space="preserve">V. Contar con botiquín y protocolo de atención de emergencias.</w:t>
      </w:r>
    </w:p>
    <w:p>
      <w:pPr>
        <w:pStyle w:val="Heading2"/>
        <w:spacing w:after="110" w:before="280"/>
      </w:pPr>
      <w:r>
        <w:rPr>
          <w:rFonts w:ascii="Arial" w:cs="Arial" w:eastAsia="Arial" w:hAnsi="Arial"/>
          <w:b/>
          <w:bCs/>
          <w:color w:val="2E5496"/>
          <w:sz w:val="24"/>
          <w:szCs w:val="24"/>
        </w:rPr>
        <w:t xml:space="preserve">Capítulo V. De las obligaciones y las causales de baja</w:t>
      </w:r>
    </w:p>
    <w:p>
      <w:pPr>
        <w:spacing w:after="140" w:line="290"/>
        <w:jc w:val="both"/>
      </w:pPr>
      <w:r>
        <w:rPr>
          <w:rFonts w:ascii="Arial" w:cs="Arial" w:eastAsia="Arial" w:hAnsi="Arial"/>
          <w:b/>
          <w:bCs/>
          <w:sz w:val="21"/>
          <w:szCs w:val="21"/>
        </w:rPr>
        <w:t xml:space="preserve">Artículo 24. </w:t>
      </w:r>
      <w:r>
        <w:rPr>
          <w:rFonts w:ascii="Arial" w:cs="Arial" w:eastAsia="Arial" w:hAnsi="Arial"/>
          <w:sz w:val="21"/>
          <w:szCs w:val="21"/>
        </w:rPr>
        <w:t xml:space="preserve">Son obligaciones de las personas beneficiarias mantener actualizada su información en el padrón, acudir a la revalidación anual de la condición de cuidado y destinar el apoyo a los fines del Programa.</w:t>
      </w:r>
    </w:p>
    <w:p>
      <w:pPr>
        <w:spacing w:after="140" w:line="290"/>
        <w:jc w:val="both"/>
      </w:pPr>
      <w:r>
        <w:rPr>
          <w:rFonts w:ascii="Arial" w:cs="Arial" w:eastAsia="Arial" w:hAnsi="Arial"/>
          <w:b/>
          <w:bCs/>
          <w:sz w:val="21"/>
          <w:szCs w:val="21"/>
        </w:rPr>
        <w:t xml:space="preserve">Artículo 27. </w:t>
      </w:r>
      <w:r>
        <w:rPr>
          <w:rFonts w:ascii="Arial" w:cs="Arial" w:eastAsia="Arial" w:hAnsi="Arial"/>
          <w:sz w:val="21"/>
          <w:szCs w:val="21"/>
        </w:rPr>
        <w:t xml:space="preserve">Son causales de baja del padrón las siguientes:</w:t>
      </w:r>
    </w:p>
    <w:p>
      <w:pPr>
        <w:spacing w:after="90" w:line="285"/>
        <w:ind w:left="560" w:hanging="280"/>
        <w:jc w:val="both"/>
      </w:pPr>
      <w:r>
        <w:rPr>
          <w:rFonts w:ascii="Arial" w:cs="Arial" w:eastAsia="Arial" w:hAnsi="Arial"/>
          <w:sz w:val="21"/>
          <w:szCs w:val="21"/>
        </w:rPr>
        <w:t xml:space="preserve">I. No cobrar el apoyo durante dos bimestres consecutivos.</w:t>
      </w:r>
    </w:p>
    <w:p>
      <w:pPr>
        <w:spacing w:after="90" w:line="285"/>
        <w:ind w:left="560" w:hanging="280"/>
        <w:jc w:val="both"/>
      </w:pPr>
      <w:r>
        <w:rPr>
          <w:rFonts w:ascii="Arial" w:cs="Arial" w:eastAsia="Arial" w:hAnsi="Arial"/>
          <w:sz w:val="21"/>
          <w:szCs w:val="21"/>
        </w:rPr>
        <w:t xml:space="preserve">II. No acreditar la permanencia de la condición de cuidado en la revalidación anual.</w:t>
      </w:r>
    </w:p>
    <w:p>
      <w:pPr>
        <w:spacing w:after="90" w:line="285"/>
        <w:ind w:left="560" w:hanging="280"/>
        <w:jc w:val="both"/>
      </w:pPr>
      <w:r>
        <w:rPr>
          <w:rFonts w:ascii="Arial" w:cs="Arial" w:eastAsia="Arial" w:hAnsi="Arial"/>
          <w:sz w:val="21"/>
          <w:szCs w:val="21"/>
        </w:rPr>
        <w:t xml:space="preserve">III. Proporcionar información falsa o inconsistente.</w:t>
      </w:r>
    </w:p>
    <w:p>
      <w:pPr>
        <w:spacing w:after="90" w:line="285"/>
        <w:ind w:left="560" w:hanging="280"/>
        <w:jc w:val="both"/>
      </w:pPr>
      <w:r>
        <w:rPr>
          <w:rFonts w:ascii="Arial" w:cs="Arial" w:eastAsia="Arial" w:hAnsi="Arial"/>
          <w:sz w:val="21"/>
          <w:szCs w:val="21"/>
        </w:rPr>
        <w:t xml:space="preserve">IV. Solicitar la baja voluntaria.</w:t>
      </w:r>
    </w:p>
    <w:p>
      <w:pPr>
        <w:spacing w:after="90" w:line="285"/>
        <w:ind w:left="560" w:hanging="280"/>
        <w:jc w:val="both"/>
      </w:pPr>
      <w:r>
        <w:rPr>
          <w:rFonts w:ascii="Arial" w:cs="Arial" w:eastAsia="Arial" w:hAnsi="Arial"/>
          <w:sz w:val="21"/>
          <w:szCs w:val="21"/>
        </w:rPr>
        <w:t xml:space="preserve">V. Fallecimiento de la persona cuidadora principal o de la totalidad de las personas que requieren cuidados en el hogar.</w:t>
      </w:r>
    </w:p>
    <w:p>
      <w:pPr>
        <w:pStyle w:val="Heading2"/>
        <w:spacing w:after="110" w:before="280"/>
      </w:pPr>
      <w:r>
        <w:rPr>
          <w:rFonts w:ascii="Arial" w:cs="Arial" w:eastAsia="Arial" w:hAnsi="Arial"/>
          <w:b/>
          <w:bCs/>
          <w:color w:val="2E5496"/>
          <w:sz w:val="24"/>
          <w:szCs w:val="24"/>
        </w:rPr>
        <w:t xml:space="preserve">Capítulo VI. Del seguimiento, la evaluación y la transparencia</w:t>
      </w:r>
    </w:p>
    <w:p>
      <w:pPr>
        <w:spacing w:after="140" w:line="290"/>
        <w:jc w:val="both"/>
      </w:pPr>
      <w:r>
        <w:rPr>
          <w:rFonts w:ascii="Arial" w:cs="Arial" w:eastAsia="Arial" w:hAnsi="Arial"/>
          <w:b/>
          <w:bCs/>
          <w:sz w:val="21"/>
          <w:szCs w:val="21"/>
        </w:rPr>
        <w:t xml:space="preserve">Artículo 30. </w:t>
      </w:r>
      <w:r>
        <w:rPr>
          <w:rFonts w:ascii="Arial" w:cs="Arial" w:eastAsia="Arial" w:hAnsi="Arial"/>
          <w:sz w:val="21"/>
          <w:szCs w:val="21"/>
        </w:rPr>
        <w:t xml:space="preserve">La evaluación externa del Programa se realizará de manera anual conforme a los lineamientos aplicables. Sus resultados deberán publicarse dentro de los noventa días naturales posteriores a su conclusión.</w:t>
      </w:r>
    </w:p>
    <w:p>
      <w:pPr>
        <w:spacing w:after="140" w:line="290"/>
        <w:jc w:val="both"/>
      </w:pPr>
      <w:r>
        <w:rPr>
          <w:rFonts w:ascii="Arial" w:cs="Arial" w:eastAsia="Arial" w:hAnsi="Arial"/>
          <w:b/>
          <w:bCs/>
          <w:sz w:val="21"/>
          <w:szCs w:val="21"/>
        </w:rPr>
        <w:t xml:space="preserve">Artículo 32. </w:t>
      </w:r>
      <w:r>
        <w:rPr>
          <w:rFonts w:ascii="Arial" w:cs="Arial" w:eastAsia="Arial" w:hAnsi="Arial"/>
          <w:sz w:val="21"/>
          <w:szCs w:val="21"/>
        </w:rPr>
        <w:t xml:space="preserve">La instancia ejecutora publicará trimestralmente el padrón de personas beneficiarias en versión pública, así como los informes de avance físico y financiero del Programa.</w:t>
      </w:r>
    </w:p>
    <w:p>
      <w:r>
        <w:br w:type="page"/>
      </w:r>
    </w:p>
    <w:p>
      <w:pPr>
        <w:pStyle w:val="Heading1"/>
        <w:spacing w:after="150" w:before="280"/>
      </w:pPr>
      <w:r>
        <w:rPr>
          <w:rFonts w:ascii="Arial" w:cs="Arial" w:eastAsia="Arial" w:hAnsi="Arial"/>
          <w:b/>
          <w:bCs/>
          <w:color w:val="1F3864"/>
          <w:sz w:val="30"/>
          <w:szCs w:val="30"/>
        </w:rPr>
        <w:t xml:space="preserve">Expediente 1. Entidad A</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700"/>
        <w:gridCol w:w="6660"/>
      </w:tblGrid>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Equipo asignado</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Equipo 1</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Pregunta de evaluación</w:t>
            </w:r>
          </w:p>
        </w:tc>
        <w:tc>
          <w:tcPr>
            <w:tcW w:type="dxa" w:w="6660"/>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¿Los centros comunitarios de cuidado de la entidad operan conforme a los estándares que fijan las Reglas de Operación, y qué consecuencias tiene la respuesta para la calidad del servicio?</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Personas beneficiarias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24,310</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Cobertura 2024 a 2025</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38.1 a 44.7 por ciento (variación de +6.6 puntos porcentuales)</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Centros comunitarios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42</w:t>
            </w:r>
          </w:p>
        </w:tc>
      </w:tr>
    </w:tbl>
    <w:p>
      <w:pPr>
        <w:pStyle w:val="Heading2"/>
        <w:spacing w:after="110" w:before="280"/>
      </w:pPr>
      <w:r>
        <w:rPr>
          <w:rFonts w:ascii="Arial" w:cs="Arial" w:eastAsia="Arial" w:hAnsi="Arial"/>
          <w:b/>
          <w:bCs/>
          <w:color w:val="2E5496"/>
          <w:sz w:val="24"/>
          <w:szCs w:val="24"/>
        </w:rPr>
        <w:t xml:space="preserve">Documento 1. Extracto del informe estatal de seguimiento 2025</w:t>
      </w:r>
    </w:p>
    <w:p>
      <w:pPr>
        <w:spacing w:after="130" w:line="290"/>
        <w:jc w:val="both"/>
      </w:pPr>
      <w:r>
        <w:rPr>
          <w:rFonts w:ascii="Arial" w:cs="Arial" w:eastAsia="Arial" w:hAnsi="Arial"/>
          <w:b w:val="false"/>
          <w:bCs w:val="false"/>
          <w:i w:val="false"/>
          <w:iCs w:val="false"/>
          <w:sz w:val="21"/>
          <w:szCs w:val="21"/>
        </w:rPr>
        <w:t xml:space="preserve">La Entidad A cerró el ejercicio 2025 con la mayor cantidad de personas beneficiarias del programa y con la red de centros comunitarios más extensa. Durante el año se abrieron nueve centros nuevos, siete de ellos en localidades que no contaban con ningún servicio de cuidado previo.</w:t>
      </w:r>
    </w:p>
    <w:p>
      <w:pPr>
        <w:spacing w:after="130" w:line="290"/>
        <w:jc w:val="both"/>
      </w:pPr>
      <w:r>
        <w:rPr>
          <w:rFonts w:ascii="Arial" w:cs="Arial" w:eastAsia="Arial" w:hAnsi="Arial"/>
          <w:b w:val="false"/>
          <w:bCs w:val="false"/>
          <w:i w:val="false"/>
          <w:iCs w:val="false"/>
          <w:sz w:val="21"/>
          <w:szCs w:val="21"/>
        </w:rPr>
        <w:t xml:space="preserve">La expansión se realizó bajo presión de tiempo. La meta de apertura estaba comprometida para el cierre del tercer trimestre y las nueve aperturas ocurrieron entre julio y septiembre. La coordinación estatal reporta que la contratación de personal se realizó de manera simultánea a las aperturas y que no fue posible completar el proceso de certificación antes de que los centros iniciaran operaciones.</w:t>
      </w:r>
    </w:p>
    <w:p>
      <w:pPr>
        <w:spacing w:after="130" w:line="290"/>
        <w:jc w:val="both"/>
      </w:pPr>
      <w:r>
        <w:rPr>
          <w:rFonts w:ascii="Arial" w:cs="Arial" w:eastAsia="Arial" w:hAnsi="Arial"/>
          <w:b w:val="false"/>
          <w:bCs w:val="false"/>
          <w:i w:val="false"/>
          <w:iCs w:val="false"/>
          <w:sz w:val="21"/>
          <w:szCs w:val="21"/>
        </w:rPr>
        <w:t xml:space="preserve">La demanda superó lo previsto. Los centros de la zona metropolitana operan al límite de su capacidad instalada y en seis de ellos existe lista de espera. La coordinación estatal solicitó ampliación presupuestal para contratación adicional, la cual fue autorizada parcialmente en noviembre.</w:t>
      </w:r>
    </w:p>
    <w:p>
      <w:pPr>
        <w:spacing w:after="130" w:line="290"/>
        <w:jc w:val="both"/>
      </w:pPr>
      <w:r>
        <w:rPr>
          <w:rFonts w:ascii="Arial" w:cs="Arial" w:eastAsia="Arial" w:hAnsi="Arial"/>
          <w:b w:val="false"/>
          <w:bCs w:val="false"/>
          <w:i w:val="false"/>
          <w:iCs w:val="false"/>
          <w:sz w:val="21"/>
          <w:szCs w:val="21"/>
        </w:rPr>
        <w:t xml:space="preserve">Las visitas de supervisión realizadas durante el cuarto trimestre documentaron condiciones de operación heterogéneas entre centros. El reporte consolidado de supervisión se anexa al presente expediente.</w:t>
      </w:r>
    </w:p>
    <w:p>
      <w:pPr>
        <w:pStyle w:val="Heading2"/>
        <w:spacing w:after="110" w:before="280"/>
      </w:pPr>
      <w:r>
        <w:rPr>
          <w:rFonts w:ascii="Arial" w:cs="Arial" w:eastAsia="Arial" w:hAnsi="Arial"/>
          <w:b/>
          <w:bCs/>
          <w:color w:val="2E5496"/>
          <w:sz w:val="24"/>
          <w:szCs w:val="24"/>
        </w:rPr>
        <w:t xml:space="preserve">Documento 2. Registros administrativos</w:t>
      </w:r>
    </w:p>
    <w:p>
      <w:pPr>
        <w:spacing w:after="80" w:before="200"/>
      </w:pPr>
      <w:r>
        <w:rPr>
          <w:rFonts w:ascii="Arial" w:cs="Arial" w:eastAsia="Arial" w:hAnsi="Arial"/>
          <w:b/>
          <w:bCs/>
          <w:sz w:val="19"/>
          <w:szCs w:val="19"/>
        </w:rPr>
        <w:t xml:space="preserve">Tabla A1. Centros comunitarios por relación de personal responsable y población atendida, cuarto trimestre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1700"/>
        <w:gridCol w:w="1700"/>
        <w:gridCol w:w="1900"/>
        <w:gridCol w:w="1860"/>
      </w:tblGrid>
      <w:tr>
        <w:trPr>
          <w:tblHeader/>
        </w:trPr>
        <w:tc>
          <w:tcPr>
            <w:tcW w:type="dxa" w:w="22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Zona</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Centros</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Niñas y niños menores de 6 años</w:t>
            </w:r>
          </w:p>
        </w:tc>
        <w:tc>
          <w:tcPr>
            <w:tcW w:type="dxa" w:w="19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Personal responsable</w:t>
            </w:r>
          </w:p>
        </w:tc>
        <w:tc>
          <w:tcPr>
            <w:tcW w:type="dxa" w:w="18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Relación</w:t>
            </w:r>
          </w:p>
        </w:tc>
      </w:tr>
      <w:tr>
        <w:tc>
          <w:tcPr>
            <w:tcW w:type="dxa" w:w="2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Metropolitana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1,842</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154</w:t>
            </w:r>
          </w:p>
        </w:tc>
        <w:tc>
          <w:tcPr>
            <w:tcW w:type="dxa" w:w="18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 a 12.0</w:t>
            </w:r>
          </w:p>
        </w:tc>
      </w:tr>
      <w:tr>
        <w:tc>
          <w:tcPr>
            <w:tcW w:type="dxa" w:w="2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Urbana media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986</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108</w:t>
            </w:r>
          </w:p>
        </w:tc>
        <w:tc>
          <w:tcPr>
            <w:tcW w:type="dxa" w:w="18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 a 9.1</w:t>
            </w:r>
          </w:p>
        </w:tc>
      </w:tr>
      <w:tr>
        <w:tc>
          <w:tcPr>
            <w:tcW w:type="dxa" w:w="2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Rural</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624</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81</w:t>
            </w:r>
          </w:p>
        </w:tc>
        <w:tc>
          <w:tcPr>
            <w:tcW w:type="dxa" w:w="18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 a 7.7</w:t>
            </w:r>
          </w:p>
        </w:tc>
      </w:tr>
      <w:tr>
        <w:tc>
          <w:tcPr>
            <w:tcW w:type="dxa" w:w="2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estatal</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42</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3,452</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343</w:t>
            </w:r>
          </w:p>
        </w:tc>
        <w:tc>
          <w:tcPr>
            <w:tcW w:type="dxa" w:w="18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 a 10.1</w:t>
            </w:r>
          </w:p>
        </w:tc>
      </w:tr>
    </w:tbl>
    <w:p>
      <w:pPr>
        <w:spacing w:after="80" w:before="200"/>
      </w:pPr>
      <w:r>
        <w:rPr>
          <w:rFonts w:ascii="Arial" w:cs="Arial" w:eastAsia="Arial" w:hAnsi="Arial"/>
          <w:b/>
          <w:bCs/>
          <w:sz w:val="19"/>
          <w:szCs w:val="19"/>
        </w:rPr>
        <w:t xml:space="preserve">Tabla A2. Resultado de las visitas de supervisión, cuarto trimestre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4200"/>
        <w:gridCol w:w="1700"/>
        <w:gridCol w:w="1700"/>
        <w:gridCol w:w="1760"/>
      </w:tblGrid>
      <w:tr>
        <w:trPr>
          <w:tblHeader/>
        </w:trPr>
        <w:tc>
          <w:tcPr>
            <w:tcW w:type="dxa" w:w="42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Criterio verificado</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Cumple</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No cumple</w:t>
            </w:r>
          </w:p>
        </w:tc>
        <w:tc>
          <w:tcPr>
            <w:tcW w:type="dxa" w:w="17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Sin verificar</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Horario mínimo de ocho horas</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40</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Personal con certificación vigente</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19</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23</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Relación de personal por población atendida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28</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Registro diario de asistencia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38</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Botiquín y protocolo de emergencia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35</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r>
    </w:tbl>
    <w:p>
      <w:pPr>
        <w:pStyle w:val="Heading2"/>
        <w:spacing w:after="110" w:before="280"/>
      </w:pPr>
      <w:r>
        <w:rPr>
          <w:rFonts w:ascii="Arial" w:cs="Arial" w:eastAsia="Arial" w:hAnsi="Arial"/>
          <w:b/>
          <w:bCs/>
          <w:color w:val="2E5496"/>
          <w:sz w:val="24"/>
          <w:szCs w:val="24"/>
        </w:rPr>
        <w:t xml:space="preserve">Documento 3. Extractos de bitácoras, testimonios y comunicaciones</w:t>
      </w:r>
    </w:p>
    <w:p>
      <w:pPr>
        <w:spacing w:after="140" w:line="290"/>
        <w:ind w:left="500" w:right="400"/>
        <w:jc w:val="both"/>
      </w:pPr>
      <w:r>
        <w:rPr>
          <w:rFonts w:ascii="Arial" w:cs="Arial" w:eastAsia="Arial" w:hAnsi="Arial"/>
          <w:i/>
          <w:iCs/>
          <w:color w:val="333333"/>
          <w:sz w:val="20"/>
          <w:szCs w:val="20"/>
        </w:rPr>
        <w:t xml:space="preserve">Bitácora de supervisión, centro 07, zona metropolitana, 14 de noviembre: La responsable del turno reporta que hay días en que se queda sola con 15 niños porque la otra persona tiene que cubrir el centro 11. Solicita apoyo.</w:t>
      </w:r>
    </w:p>
    <w:p>
      <w:pPr>
        <w:spacing w:after="140" w:line="290"/>
        <w:ind w:left="500" w:right="400"/>
        <w:jc w:val="both"/>
      </w:pPr>
      <w:r>
        <w:rPr>
          <w:rFonts w:ascii="Arial" w:cs="Arial" w:eastAsia="Arial" w:hAnsi="Arial"/>
          <w:i/>
          <w:iCs/>
          <w:color w:val="333333"/>
          <w:sz w:val="20"/>
          <w:szCs w:val="20"/>
        </w:rPr>
        <w:t xml:space="preserve">Grupo focal, zona metropolitana, 3 de diciembre. Participante: A mí el centro me salvó, sin eso yo no podría trabajar. Pero sí veo que las muchachas están muy solas, a veces llego y hay una nada más con todos los niños.</w:t>
      </w:r>
    </w:p>
    <w:p>
      <w:pPr>
        <w:spacing w:after="140" w:line="290"/>
        <w:ind w:left="500" w:right="400"/>
        <w:jc w:val="both"/>
      </w:pPr>
      <w:r>
        <w:rPr>
          <w:rFonts w:ascii="Arial" w:cs="Arial" w:eastAsia="Arial" w:hAnsi="Arial"/>
          <w:i/>
          <w:iCs/>
          <w:color w:val="333333"/>
          <w:sz w:val="20"/>
          <w:szCs w:val="20"/>
        </w:rPr>
        <w:t xml:space="preserve">Entrevista con personal operativo, zona rural, 28 de noviembre: Aquí estamos bien de personal porque somos pocos niños. El problema nuestro es otro, es que no nos han dado la capacitación y llevamos ocho meses. Nos dijeron que ya venía desde marzo.</w:t>
      </w:r>
    </w:p>
    <w:p>
      <w:pPr>
        <w:pStyle w:val="Heading2"/>
        <w:spacing w:after="110" w:before="280"/>
      </w:pPr>
      <w:r>
        <w:rPr>
          <w:rFonts w:ascii="Arial" w:cs="Arial" w:eastAsia="Arial" w:hAnsi="Arial"/>
          <w:b/>
          <w:bCs/>
          <w:color w:val="2E5496"/>
          <w:sz w:val="24"/>
          <w:szCs w:val="24"/>
        </w:rPr>
        <w:t xml:space="preserve">Instrucciones para el equipo</w:t>
      </w:r>
    </w:p>
    <w:p>
      <w:pPr>
        <w:spacing w:after="130" w:line="290"/>
        <w:jc w:val="both"/>
      </w:pPr>
      <w:r>
        <w:rPr>
          <w:rFonts w:ascii="Arial" w:cs="Arial" w:eastAsia="Arial" w:hAnsi="Arial"/>
          <w:b w:val="false"/>
          <w:bCs w:val="false"/>
          <w:i w:val="false"/>
          <w:iCs w:val="false"/>
          <w:sz w:val="21"/>
          <w:szCs w:val="21"/>
        </w:rPr>
        <w:t xml:space="preserve">Primero, identifique los patrones que aparecen en el expediente usando las técnicas de la Sesión 4. Segundo, construya la matriz de evidencia con al menos doce afirmaciones trazadas, usando la plantilla del archivo de Excel. Tercero, redacte una síntesis cualitativa de máximo dos cuartillas que responda la pregunta de evaluación asignada.</w:t>
      </w:r>
    </w:p>
    <w:p>
      <w:pPr>
        <w:spacing w:after="130" w:line="290"/>
        <w:jc w:val="both"/>
      </w:pPr>
      <w:r>
        <w:rPr>
          <w:rFonts w:ascii="Arial" w:cs="Arial" w:eastAsia="Arial" w:hAnsi="Arial"/>
          <w:b/>
          <w:bCs/>
          <w:i w:val="false"/>
          <w:iCs w:val="false"/>
          <w:sz w:val="21"/>
          <w:szCs w:val="21"/>
        </w:rPr>
        <w:t xml:space="preserve">La regla dura del laboratorio es que ninguna frase de la síntesis puede afirmar algo que no esté en la matriz. Si una afirmación le parece evidente pero no la puede trazar a un documento del expediente o al marco normativo común, no entra a la síntesis, o entra declarada como hipótesis con nivel de confianza bajo.</w:t>
      </w:r>
    </w:p>
    <w:p>
      <w:pPr>
        <w:spacing w:after="130" w:line="290"/>
        <w:jc w:val="both"/>
      </w:pPr>
      <w:r>
        <w:rPr>
          <w:rFonts w:ascii="Arial" w:cs="Arial" w:eastAsia="Arial" w:hAnsi="Arial"/>
          <w:b w:val="false"/>
          <w:bCs w:val="false"/>
          <w:i w:val="false"/>
          <w:iCs w:val="false"/>
          <w:sz w:val="21"/>
          <w:szCs w:val="21"/>
        </w:rPr>
        <w:t xml:space="preserve">Tenga presente que el marco normativo forma parte del expediente. Varias de las afirmaciones más sólidas que puede construir salen de contrastar lo que reportan los documentos contra lo que establecen las Reglas de Operación.</w:t>
      </w:r>
    </w:p>
    <w:p>
      <w:r>
        <w:br w:type="page"/>
      </w:r>
    </w:p>
    <w:p>
      <w:pPr>
        <w:pStyle w:val="Heading1"/>
        <w:spacing w:after="150" w:before="280"/>
      </w:pPr>
      <w:r>
        <w:rPr>
          <w:rFonts w:ascii="Arial" w:cs="Arial" w:eastAsia="Arial" w:hAnsi="Arial"/>
          <w:b/>
          <w:bCs/>
          <w:color w:val="1F3864"/>
          <w:sz w:val="30"/>
          <w:szCs w:val="30"/>
        </w:rPr>
        <w:t xml:space="preserve">Expediente 2. Entidad B</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700"/>
        <w:gridCol w:w="6660"/>
      </w:tblGrid>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Equipo asignado</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Equipo 2</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Pregunta de evaluación</w:t>
            </w:r>
          </w:p>
        </w:tc>
        <w:tc>
          <w:tcPr>
            <w:tcW w:type="dxa" w:w="6660"/>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¿A qué se debe el incremento de cobertura de la entidad y qué tan sólido es ese resultado como para sostener una conclusión en el informe nacional?</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Personas beneficiarias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21,845</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Cobertura 2024 a 2025</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31.5 a 39.2 por ciento (variación de +7.7 puntos porcentuales)</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Centros comunitarios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38</w:t>
            </w:r>
          </w:p>
        </w:tc>
      </w:tr>
    </w:tbl>
    <w:p>
      <w:pPr>
        <w:pStyle w:val="Heading2"/>
        <w:spacing w:after="110" w:before="280"/>
      </w:pPr>
      <w:r>
        <w:rPr>
          <w:rFonts w:ascii="Arial" w:cs="Arial" w:eastAsia="Arial" w:hAnsi="Arial"/>
          <w:b/>
          <w:bCs/>
          <w:color w:val="2E5496"/>
          <w:sz w:val="24"/>
          <w:szCs w:val="24"/>
        </w:rPr>
        <w:t xml:space="preserve">Documento 1. Extracto del informe estatal de seguimiento 2025</w:t>
      </w:r>
    </w:p>
    <w:p>
      <w:pPr>
        <w:spacing w:after="130" w:line="290"/>
        <w:jc w:val="both"/>
      </w:pPr>
      <w:r>
        <w:rPr>
          <w:rFonts w:ascii="Arial" w:cs="Arial" w:eastAsia="Arial" w:hAnsi="Arial"/>
          <w:b w:val="false"/>
          <w:bCs w:val="false"/>
          <w:i w:val="false"/>
          <w:iCs w:val="false"/>
          <w:sz w:val="21"/>
          <w:szCs w:val="21"/>
        </w:rPr>
        <w:t xml:space="preserve">La Entidad B registró el mayor incremento de cobertura del ejercicio, con 7.7 puntos porcentuales. El resultado es relevante porque la entidad partía del segundo nivel de cobertura más bajo del conjunto evaluado.</w:t>
      </w:r>
    </w:p>
    <w:p>
      <w:pPr>
        <w:spacing w:after="130" w:line="290"/>
        <w:jc w:val="both"/>
      </w:pPr>
      <w:r>
        <w:rPr>
          <w:rFonts w:ascii="Arial" w:cs="Arial" w:eastAsia="Arial" w:hAnsi="Arial"/>
          <w:b w:val="false"/>
          <w:bCs w:val="false"/>
          <w:i w:val="false"/>
          <w:iCs w:val="false"/>
          <w:sz w:val="21"/>
          <w:szCs w:val="21"/>
        </w:rPr>
        <w:t xml:space="preserve">El incremento se concentra en el segundo semestre del año. Entre enero y junio la entidad incorporó 1,204 personas beneficiarias, un ritmo similar al del ejercicio anterior. Entre julio y diciembre incorporó 6,890, es decir, más de cinco veces el ritmo del primer semestre.</w:t>
      </w:r>
    </w:p>
    <w:p>
      <w:pPr>
        <w:spacing w:after="130" w:line="290"/>
        <w:jc w:val="both"/>
      </w:pPr>
      <w:r>
        <w:rPr>
          <w:rFonts w:ascii="Arial" w:cs="Arial" w:eastAsia="Arial" w:hAnsi="Arial"/>
          <w:b w:val="false"/>
          <w:bCs w:val="false"/>
          <w:i w:val="false"/>
          <w:iCs w:val="false"/>
          <w:sz w:val="21"/>
          <w:szCs w:val="21"/>
        </w:rPr>
        <w:t xml:space="preserve">La coordinación estatal atribuye el cambio a la Jornada Estatal de Incorporación realizada durante agosto y septiembre, que instaló módulos itinerantes en 46 localidades. La jornada fue diseñada para acercar el trámite a comunidades sin módulo permanente.</w:t>
      </w:r>
    </w:p>
    <w:p>
      <w:pPr>
        <w:spacing w:after="130" w:line="290"/>
        <w:jc w:val="both"/>
      </w:pPr>
      <w:r>
        <w:rPr>
          <w:rFonts w:ascii="Arial" w:cs="Arial" w:eastAsia="Arial" w:hAnsi="Arial"/>
          <w:b w:val="false"/>
          <w:bCs w:val="false"/>
          <w:i w:val="false"/>
          <w:iCs w:val="false"/>
          <w:sz w:val="21"/>
          <w:szCs w:val="21"/>
        </w:rPr>
        <w:t xml:space="preserve">La Unidad de Padrón realizó en enero de 2026 una revisión de consistencia sobre las incorporaciones del segundo semestre. El resultado de esa revisión se anexa. La coordinación estatal solicitó que las cifras de la entidad se reporten como preliminares hasta que concluya la regularización de expedientes.</w:t>
      </w:r>
    </w:p>
    <w:p>
      <w:pPr>
        <w:pStyle w:val="Heading2"/>
        <w:spacing w:after="110" w:before="280"/>
      </w:pPr>
      <w:r>
        <w:rPr>
          <w:rFonts w:ascii="Arial" w:cs="Arial" w:eastAsia="Arial" w:hAnsi="Arial"/>
          <w:b/>
          <w:bCs/>
          <w:color w:val="2E5496"/>
          <w:sz w:val="24"/>
          <w:szCs w:val="24"/>
        </w:rPr>
        <w:t xml:space="preserve">Documento 2. Registros administrativos</w:t>
      </w:r>
    </w:p>
    <w:p>
      <w:pPr>
        <w:spacing w:after="80" w:before="200"/>
      </w:pPr>
      <w:r>
        <w:rPr>
          <w:rFonts w:ascii="Arial" w:cs="Arial" w:eastAsia="Arial" w:hAnsi="Arial"/>
          <w:b/>
          <w:bCs/>
          <w:sz w:val="19"/>
          <w:szCs w:val="19"/>
        </w:rPr>
        <w:t xml:space="preserve">Tabla B1. Incorporaciones al padrón por periodo,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2000"/>
        <w:gridCol w:w="2400"/>
        <w:gridCol w:w="2360"/>
      </w:tblGrid>
      <w:tr>
        <w:trPr>
          <w:tblHeader/>
        </w:trPr>
        <w:tc>
          <w:tcPr>
            <w:tcW w:type="dxa" w:w="26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Periodo</w:t>
            </w:r>
          </w:p>
        </w:tc>
        <w:tc>
          <w:tcPr>
            <w:tcW w:type="dxa" w:w="20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Incorporaciones</w:t>
            </w:r>
          </w:p>
        </w:tc>
        <w:tc>
          <w:tcPr>
            <w:tcW w:type="dxa" w:w="24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Módulos operando</w:t>
            </w:r>
          </w:p>
        </w:tc>
        <w:tc>
          <w:tcPr>
            <w:tcW w:type="dxa" w:w="23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Promedio por módulo</w:t>
            </w:r>
          </w:p>
        </w:tc>
      </w:tr>
      <w:tr>
        <w:tc>
          <w:tcPr>
            <w:tcW w:type="dxa" w:w="26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Enero a junio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1,204</w:t>
            </w:r>
          </w:p>
        </w:tc>
        <w:tc>
          <w:tcPr>
            <w:tcW w:type="dxa" w:w="24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 permanentes</w:t>
            </w:r>
          </w:p>
        </w:tc>
        <w:tc>
          <w:tcPr>
            <w:tcW w:type="dxa" w:w="2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86</w:t>
            </w:r>
          </w:p>
        </w:tc>
      </w:tr>
      <w:tr>
        <w:tc>
          <w:tcPr>
            <w:tcW w:type="dxa" w:w="26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Julio a diciembre</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6,890</w:t>
            </w:r>
          </w:p>
        </w:tc>
        <w:tc>
          <w:tcPr>
            <w:tcW w:type="dxa" w:w="24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 permanentes y 46 itinerantes</w:t>
            </w:r>
          </w:p>
        </w:tc>
        <w:tc>
          <w:tcPr>
            <w:tcW w:type="dxa" w:w="2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115</w:t>
            </w:r>
          </w:p>
        </w:tc>
      </w:tr>
      <w:tr>
        <w:tc>
          <w:tcPr>
            <w:tcW w:type="dxa" w:w="26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2025</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8,094</w:t>
            </w:r>
          </w:p>
        </w:tc>
        <w:tc>
          <w:tcPr>
            <w:tcW w:type="dxa" w:w="24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
            </w:r>
          </w:p>
        </w:tc>
        <w:tc>
          <w:tcPr>
            <w:tcW w:type="dxa" w:w="2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
            </w:r>
          </w:p>
        </w:tc>
      </w:tr>
    </w:tbl>
    <w:p>
      <w:pPr>
        <w:spacing w:after="80" w:before="200"/>
      </w:pPr>
      <w:r>
        <w:rPr>
          <w:rFonts w:ascii="Arial" w:cs="Arial" w:eastAsia="Arial" w:hAnsi="Arial"/>
          <w:b/>
          <w:bCs/>
          <w:sz w:val="19"/>
          <w:szCs w:val="19"/>
        </w:rPr>
        <w:t xml:space="preserve">Tabla B2. Revisión de consistencia de expedientes del segundo semestre, enero 2026</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4400"/>
        <w:gridCol w:w="1700"/>
        <w:gridCol w:w="1700"/>
        <w:gridCol w:w="1560"/>
      </w:tblGrid>
      <w:tr>
        <w:trPr>
          <w:tblHeader/>
        </w:trPr>
        <w:tc>
          <w:tcPr>
            <w:tcW w:type="dxa" w:w="44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Situación del expediente</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Casos</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Porcentaje</w:t>
            </w:r>
          </w:p>
        </w:tc>
        <w:tc>
          <w:tcPr>
            <w:tcW w:type="dxa" w:w="15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Estatus</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Expediente completo y validado</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4,754</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69.0</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Firme</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Falta constancia médica o de discapacidad</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1,241</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18.0</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En regularización</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Falta comprobante de domicilio vigente</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620</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9.0</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En regularización</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Posible duplicidad con otro registro</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186</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2.7</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En revisión</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Sin expediente localizable</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89</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1.3</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En revisión</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del semestre</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6,890</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100.0</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
            </w:r>
          </w:p>
        </w:tc>
      </w:tr>
    </w:tbl>
    <w:p>
      <w:pPr>
        <w:pStyle w:val="Heading2"/>
        <w:spacing w:after="110" w:before="280"/>
      </w:pPr>
      <w:r>
        <w:rPr>
          <w:rFonts w:ascii="Arial" w:cs="Arial" w:eastAsia="Arial" w:hAnsi="Arial"/>
          <w:b/>
          <w:bCs/>
          <w:color w:val="2E5496"/>
          <w:sz w:val="24"/>
          <w:szCs w:val="24"/>
        </w:rPr>
        <w:t xml:space="preserve">Documento 3. Extractos de bitácoras, testimonios y comunicaciones</w:t>
      </w:r>
    </w:p>
    <w:p>
      <w:pPr>
        <w:spacing w:after="140" w:line="290"/>
        <w:ind w:left="500" w:right="400"/>
        <w:jc w:val="both"/>
      </w:pPr>
      <w:r>
        <w:rPr>
          <w:rFonts w:ascii="Arial" w:cs="Arial" w:eastAsia="Arial" w:hAnsi="Arial"/>
          <w:i/>
          <w:iCs/>
          <w:color w:val="333333"/>
          <w:sz w:val="20"/>
          <w:szCs w:val="20"/>
        </w:rPr>
        <w:t xml:space="preserve">Correo de la Coordinación Estatal a la Unidad de Padrón, 22 de enero de 2026: Solicitamos que las cifras de la entidad se reporten como preliminares. Estimamos concluir la regularización de expedientes hacia finales de marzo. No prevemos que la cifra final varíe más de un punto porcentual a la baja, pero no podemos garantizarlo hasta cerrar la revisión.</w:t>
      </w:r>
    </w:p>
    <w:p>
      <w:pPr>
        <w:spacing w:after="140" w:line="290"/>
        <w:ind w:left="500" w:right="400"/>
        <w:jc w:val="both"/>
      </w:pPr>
      <w:r>
        <w:rPr>
          <w:rFonts w:ascii="Arial" w:cs="Arial" w:eastAsia="Arial" w:hAnsi="Arial"/>
          <w:i/>
          <w:iCs/>
          <w:color w:val="333333"/>
          <w:sz w:val="20"/>
          <w:szCs w:val="20"/>
        </w:rPr>
        <w:t xml:space="preserve">Bitácora de la Jornada Estatal de Incorporación, 11 de septiembre: En la localidad de San Bartolo se atendieron 214 solicitudes en un día. No alcanzó el tiempo para revisar documentación completa de todas, se recibieron con acuse y se quedó de completar expediente después.</w:t>
      </w:r>
    </w:p>
    <w:p>
      <w:pPr>
        <w:spacing w:after="140" w:line="290"/>
        <w:ind w:left="500" w:right="400"/>
        <w:jc w:val="both"/>
      </w:pPr>
      <w:r>
        <w:rPr>
          <w:rFonts w:ascii="Arial" w:cs="Arial" w:eastAsia="Arial" w:hAnsi="Arial"/>
          <w:i/>
          <w:iCs/>
          <w:color w:val="333333"/>
          <w:sz w:val="20"/>
          <w:szCs w:val="20"/>
        </w:rPr>
        <w:t xml:space="preserve">Entrevista con personal del módulo itinerante, 4 de diciembre: La instrucción que traíamos era no regresar a nadie. Si le faltaba un papel se le recibía igual y se le anotaba que lo trajera luego. Muchas no volvieron.</w:t>
      </w:r>
    </w:p>
    <w:p>
      <w:pPr>
        <w:pStyle w:val="Heading2"/>
        <w:spacing w:after="110" w:before="280"/>
      </w:pPr>
      <w:r>
        <w:rPr>
          <w:rFonts w:ascii="Arial" w:cs="Arial" w:eastAsia="Arial" w:hAnsi="Arial"/>
          <w:b/>
          <w:bCs/>
          <w:color w:val="2E5496"/>
          <w:sz w:val="24"/>
          <w:szCs w:val="24"/>
        </w:rPr>
        <w:t xml:space="preserve">Instrucciones para el equipo</w:t>
      </w:r>
    </w:p>
    <w:p>
      <w:pPr>
        <w:spacing w:after="130" w:line="290"/>
        <w:jc w:val="both"/>
      </w:pPr>
      <w:r>
        <w:rPr>
          <w:rFonts w:ascii="Arial" w:cs="Arial" w:eastAsia="Arial" w:hAnsi="Arial"/>
          <w:b w:val="false"/>
          <w:bCs w:val="false"/>
          <w:i w:val="false"/>
          <w:iCs w:val="false"/>
          <w:sz w:val="21"/>
          <w:szCs w:val="21"/>
        </w:rPr>
        <w:t xml:space="preserve">Primero, identifique los patrones que aparecen en el expediente usando las técnicas de la Sesión 4. Segundo, construya la matriz de evidencia con al menos doce afirmaciones trazadas, usando la plantilla del archivo de Excel. Tercero, redacte una síntesis cualitativa de máximo dos cuartillas que responda la pregunta de evaluación asignada.</w:t>
      </w:r>
    </w:p>
    <w:p>
      <w:pPr>
        <w:spacing w:after="130" w:line="290"/>
        <w:jc w:val="both"/>
      </w:pPr>
      <w:r>
        <w:rPr>
          <w:rFonts w:ascii="Arial" w:cs="Arial" w:eastAsia="Arial" w:hAnsi="Arial"/>
          <w:b/>
          <w:bCs/>
          <w:i w:val="false"/>
          <w:iCs w:val="false"/>
          <w:sz w:val="21"/>
          <w:szCs w:val="21"/>
        </w:rPr>
        <w:t xml:space="preserve">La regla dura del laboratorio es que ninguna frase de la síntesis puede afirmar algo que no esté en la matriz. Si una afirmación le parece evidente pero no la puede trazar a un documento del expediente o al marco normativo común, no entra a la síntesis, o entra declarada como hipótesis con nivel de confianza bajo.</w:t>
      </w:r>
    </w:p>
    <w:p>
      <w:pPr>
        <w:spacing w:after="130" w:line="290"/>
        <w:jc w:val="both"/>
      </w:pPr>
      <w:r>
        <w:rPr>
          <w:rFonts w:ascii="Arial" w:cs="Arial" w:eastAsia="Arial" w:hAnsi="Arial"/>
          <w:b w:val="false"/>
          <w:bCs w:val="false"/>
          <w:i w:val="false"/>
          <w:iCs w:val="false"/>
          <w:sz w:val="21"/>
          <w:szCs w:val="21"/>
        </w:rPr>
        <w:t xml:space="preserve">Tenga presente que el marco normativo forma parte del expediente. Varias de las afirmaciones más sólidas que puede construir salen de contrastar lo que reportan los documentos contra lo que establecen las Reglas de Operación.</w:t>
      </w:r>
    </w:p>
    <w:p>
      <w:r>
        <w:br w:type="page"/>
      </w:r>
    </w:p>
    <w:p>
      <w:pPr>
        <w:pStyle w:val="Heading1"/>
        <w:spacing w:after="150" w:before="280"/>
      </w:pPr>
      <w:r>
        <w:rPr>
          <w:rFonts w:ascii="Arial" w:cs="Arial" w:eastAsia="Arial" w:hAnsi="Arial"/>
          <w:b/>
          <w:bCs/>
          <w:color w:val="1F3864"/>
          <w:sz w:val="30"/>
          <w:szCs w:val="30"/>
        </w:rPr>
        <w:t xml:space="preserve">Expediente 3. Entidad C</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700"/>
        <w:gridCol w:w="6660"/>
      </w:tblGrid>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Equipo asignado</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Equipo 3</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Pregunta de evaluación</w:t>
            </w:r>
          </w:p>
        </w:tc>
        <w:tc>
          <w:tcPr>
            <w:tcW w:type="dxa" w:w="6660"/>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¿Los mecanismos de dispersión del apoyo funcionaron conforme a lo previsto en las Reglas de Operación, y cómo debe reflejarse la respuesta en el informe?</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Personas beneficiarias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19,720</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Cobertura 2024 a 2025</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42.8 a 48.9 por ciento (variación de +6.1 puntos porcentuales)</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Centros comunitarios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35</w:t>
            </w:r>
          </w:p>
        </w:tc>
      </w:tr>
    </w:tbl>
    <w:p>
      <w:pPr>
        <w:pStyle w:val="Heading2"/>
        <w:spacing w:after="110" w:before="280"/>
      </w:pPr>
      <w:r>
        <w:rPr>
          <w:rFonts w:ascii="Arial" w:cs="Arial" w:eastAsia="Arial" w:hAnsi="Arial"/>
          <w:b/>
          <w:bCs/>
          <w:color w:val="2E5496"/>
          <w:sz w:val="24"/>
          <w:szCs w:val="24"/>
        </w:rPr>
        <w:t xml:space="preserve">Documento 1. Extracto del informe estatal de seguimiento 2025</w:t>
      </w:r>
    </w:p>
    <w:p>
      <w:pPr>
        <w:spacing w:after="130" w:line="290"/>
        <w:jc w:val="both"/>
      </w:pPr>
      <w:r>
        <w:rPr>
          <w:rFonts w:ascii="Arial" w:cs="Arial" w:eastAsia="Arial" w:hAnsi="Arial"/>
          <w:b w:val="false"/>
          <w:bCs w:val="false"/>
          <w:i w:val="false"/>
          <w:iCs w:val="false"/>
          <w:sz w:val="21"/>
          <w:szCs w:val="21"/>
        </w:rPr>
        <w:t xml:space="preserve">La Entidad C alcanzó la cobertura más alta del conjunto evaluado, con 48.9 por ciento de su población objetivo. La entidad tiene la operación más antigua del programa y la red de módulos permanentes mejor distribuida.</w:t>
      </w:r>
    </w:p>
    <w:p>
      <w:pPr>
        <w:spacing w:after="130" w:line="290"/>
        <w:jc w:val="both"/>
      </w:pPr>
      <w:r>
        <w:rPr>
          <w:rFonts w:ascii="Arial" w:cs="Arial" w:eastAsia="Arial" w:hAnsi="Arial"/>
          <w:b w:val="false"/>
          <w:bCs w:val="false"/>
          <w:i w:val="false"/>
          <w:iCs w:val="false"/>
          <w:sz w:val="21"/>
          <w:szCs w:val="21"/>
        </w:rPr>
        <w:t xml:space="preserve">Durante el ejercicio se realizó la migración de la plataforma de dispersión al nuevo proveedor bancario contratado a nivel central. La migración se ejecutó entre mayo y junio.</w:t>
      </w:r>
    </w:p>
    <w:p>
      <w:pPr>
        <w:spacing w:after="130" w:line="290"/>
        <w:jc w:val="both"/>
      </w:pPr>
      <w:r>
        <w:rPr>
          <w:rFonts w:ascii="Arial" w:cs="Arial" w:eastAsia="Arial" w:hAnsi="Arial"/>
          <w:b w:val="false"/>
          <w:bCs w:val="false"/>
          <w:i w:val="false"/>
          <w:iCs w:val="false"/>
          <w:sz w:val="21"/>
          <w:szCs w:val="21"/>
        </w:rPr>
        <w:t xml:space="preserve">El pago correspondiente al tercer bimestre se realizó con retraso respecto de la fecha programada. La incidencia afectó a la totalidad del padrón de la entidad. La coordinación estatal reportó la incidencia por oficio y anexó el reporte técnico del proveedor.</w:t>
      </w:r>
    </w:p>
    <w:p>
      <w:pPr>
        <w:spacing w:after="130" w:line="290"/>
        <w:jc w:val="both"/>
      </w:pPr>
      <w:r>
        <w:rPr>
          <w:rFonts w:ascii="Arial" w:cs="Arial" w:eastAsia="Arial" w:hAnsi="Arial"/>
          <w:b w:val="false"/>
          <w:bCs w:val="false"/>
          <w:i w:val="false"/>
          <w:iCs w:val="false"/>
          <w:sz w:val="21"/>
          <w:szCs w:val="21"/>
        </w:rPr>
        <w:t xml:space="preserve">El cuarto, quinto y sexto bimestres se dispersaron dentro de las fechas establecidas. La coordinación estatal considera la incidencia resuelta y no reporta afectaciones adicionales.</w:t>
      </w:r>
    </w:p>
    <w:p>
      <w:pPr>
        <w:pStyle w:val="Heading2"/>
        <w:spacing w:after="110" w:before="280"/>
      </w:pPr>
      <w:r>
        <w:rPr>
          <w:rFonts w:ascii="Arial" w:cs="Arial" w:eastAsia="Arial" w:hAnsi="Arial"/>
          <w:b/>
          <w:bCs/>
          <w:color w:val="2E5496"/>
          <w:sz w:val="24"/>
          <w:szCs w:val="24"/>
        </w:rPr>
        <w:t xml:space="preserve">Documento 2. Registros administrativos</w:t>
      </w:r>
    </w:p>
    <w:p>
      <w:pPr>
        <w:spacing w:after="80" w:before="200"/>
      </w:pPr>
      <w:r>
        <w:rPr>
          <w:rFonts w:ascii="Arial" w:cs="Arial" w:eastAsia="Arial" w:hAnsi="Arial"/>
          <w:b/>
          <w:bCs/>
          <w:sz w:val="19"/>
          <w:szCs w:val="19"/>
        </w:rPr>
        <w:t xml:space="preserve">Tabla C1. Fechas de dispersión por bimestre,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2000"/>
        <w:gridCol w:w="2000"/>
        <w:gridCol w:w="1900"/>
        <w:gridCol w:w="1660"/>
      </w:tblGrid>
      <w:tr>
        <w:trPr>
          <w:tblHeader/>
        </w:trPr>
        <w:tc>
          <w:tcPr>
            <w:tcW w:type="dxa" w:w="18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Bimestre</w:t>
            </w:r>
          </w:p>
        </w:tc>
        <w:tc>
          <w:tcPr>
            <w:tcW w:type="dxa" w:w="20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Fecha programada</w:t>
            </w:r>
          </w:p>
        </w:tc>
        <w:tc>
          <w:tcPr>
            <w:tcW w:type="dxa" w:w="20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Fecha efectiva</w:t>
            </w:r>
          </w:p>
        </w:tc>
        <w:tc>
          <w:tcPr>
            <w:tcW w:type="dxa" w:w="19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Días de retraso</w:t>
            </w:r>
          </w:p>
        </w:tc>
        <w:tc>
          <w:tcPr>
            <w:tcW w:type="dxa" w:w="16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Padrón afectado</w:t>
            </w:r>
          </w:p>
        </w:tc>
      </w:tr>
      <w:tr>
        <w:tc>
          <w:tcPr>
            <w:tcW w:type="dxa" w:w="18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Primero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 de febrero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 de febrero</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r>
      <w:tr>
        <w:tc>
          <w:tcPr>
            <w:tcW w:type="dxa" w:w="18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Segundo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15 de abril</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16 de abril</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19,102</w:t>
            </w:r>
          </w:p>
        </w:tc>
      </w:tr>
      <w:tr>
        <w:tc>
          <w:tcPr>
            <w:tcW w:type="dxa" w:w="18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Tercero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13 de junio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5 de julio</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22</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19,340</w:t>
            </w:r>
          </w:p>
        </w:tc>
      </w:tr>
      <w:tr>
        <w:tc>
          <w:tcPr>
            <w:tcW w:type="dxa" w:w="18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Cuarto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 de agosto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 de agosto</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r>
      <w:tr>
        <w:tc>
          <w:tcPr>
            <w:tcW w:type="dxa" w:w="18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Quinto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15 de octubre</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15 de octubre</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r>
      <w:tr>
        <w:tc>
          <w:tcPr>
            <w:tcW w:type="dxa" w:w="18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Sexto</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 de diciembre</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 de diciembre</w:t>
            </w:r>
          </w:p>
        </w:tc>
        <w:tc>
          <w:tcPr>
            <w:tcW w:type="dxa" w:w="19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0</w:t>
            </w:r>
          </w:p>
        </w:tc>
      </w:tr>
    </w:tbl>
    <w:p>
      <w:pPr>
        <w:spacing w:after="80" w:before="200"/>
      </w:pPr>
      <w:r>
        <w:rPr>
          <w:rFonts w:ascii="Arial" w:cs="Arial" w:eastAsia="Arial" w:hAnsi="Arial"/>
          <w:b/>
          <w:bCs/>
          <w:sz w:val="19"/>
          <w:szCs w:val="19"/>
        </w:rPr>
        <w:t xml:space="preserve">Tabla C2. Registros de atención ciudadana por motivo, tercer bimestre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4400"/>
        <w:gridCol w:w="1700"/>
        <w:gridCol w:w="1700"/>
        <w:gridCol w:w="1560"/>
      </w:tblGrid>
      <w:tr>
        <w:trPr>
          <w:tblHeader/>
        </w:trPr>
        <w:tc>
          <w:tcPr>
            <w:tcW w:type="dxa" w:w="44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Motivo del registro</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Casos</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Porcentaje</w:t>
            </w:r>
          </w:p>
        </w:tc>
        <w:tc>
          <w:tcPr>
            <w:tcW w:type="dxa" w:w="15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Variación contra bimestre previo</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Apoyo no recibido en fecha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2,847</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71.4</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De 118 a 2,847</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Consulta sobre fecha de pago</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694</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17.4</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De 203 a 694</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Problemas con tarjeta o cajero</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281</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7.0</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Sin cambio relevante</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Otros motivos</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166</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4.2</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Sin cambio relevante</w:t>
            </w:r>
          </w:p>
        </w:tc>
      </w:tr>
      <w:tr>
        <w:tc>
          <w:tcPr>
            <w:tcW w:type="dxa" w:w="4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del bimestre</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3,988</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100.0</w:t>
            </w:r>
          </w:p>
        </w:tc>
        <w:tc>
          <w:tcPr>
            <w:tcW w:type="dxa" w:w="15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De 621 a 3,988</w:t>
            </w:r>
          </w:p>
        </w:tc>
      </w:tr>
    </w:tbl>
    <w:p>
      <w:pPr>
        <w:pStyle w:val="Heading2"/>
        <w:spacing w:after="110" w:before="280"/>
      </w:pPr>
      <w:r>
        <w:rPr>
          <w:rFonts w:ascii="Arial" w:cs="Arial" w:eastAsia="Arial" w:hAnsi="Arial"/>
          <w:b/>
          <w:bCs/>
          <w:color w:val="2E5496"/>
          <w:sz w:val="24"/>
          <w:szCs w:val="24"/>
        </w:rPr>
        <w:t xml:space="preserve">Documento 3. Extractos de bitácoras, testimonios y comunicaciones</w:t>
      </w:r>
    </w:p>
    <w:p>
      <w:pPr>
        <w:spacing w:after="140" w:line="290"/>
        <w:ind w:left="500" w:right="400"/>
        <w:jc w:val="both"/>
      </w:pPr>
      <w:r>
        <w:rPr>
          <w:rFonts w:ascii="Arial" w:cs="Arial" w:eastAsia="Arial" w:hAnsi="Arial"/>
          <w:i/>
          <w:iCs/>
          <w:color w:val="333333"/>
          <w:sz w:val="20"/>
          <w:szCs w:val="20"/>
        </w:rPr>
        <w:t xml:space="preserve">Oficio de la Coordinación Estatal, 19 de septiembre de 2025: Por este medio informamos que derivado de la migración de la plataforma de dispersión al nuevo proveedor bancario, el pago correspondiente al tercer bimestre de 2025 se realizó con 22 días naturales de retraso respecto de la fecha programada, afectando a la totalidad del padrón de la entidad.</w:t>
      </w:r>
    </w:p>
    <w:p>
      <w:pPr>
        <w:spacing w:after="140" w:line="290"/>
        <w:ind w:left="500" w:right="400"/>
        <w:jc w:val="both"/>
      </w:pPr>
      <w:r>
        <w:rPr>
          <w:rFonts w:ascii="Arial" w:cs="Arial" w:eastAsia="Arial" w:hAnsi="Arial"/>
          <w:i/>
          <w:iCs/>
          <w:color w:val="333333"/>
          <w:sz w:val="20"/>
          <w:szCs w:val="20"/>
        </w:rPr>
        <w:t xml:space="preserve">Grupo focal, cabecera municipal, 9 de diciembre. Participante: Ese bimestre nos dejaron colgadas casi un mes. Yo tuve que pedir fiado en la tienda y todavía estoy pagando eso. Y lo peor es que nadie nos avisó, íbamos al cajero y nada, y otra vez, y nada.</w:t>
      </w:r>
    </w:p>
    <w:p>
      <w:pPr>
        <w:spacing w:after="140" w:line="290"/>
        <w:ind w:left="500" w:right="400"/>
        <w:jc w:val="both"/>
      </w:pPr>
      <w:r>
        <w:rPr>
          <w:rFonts w:ascii="Arial" w:cs="Arial" w:eastAsia="Arial" w:hAnsi="Arial"/>
          <w:i/>
          <w:iCs/>
          <w:color w:val="333333"/>
          <w:sz w:val="20"/>
          <w:szCs w:val="20"/>
        </w:rPr>
        <w:t xml:space="preserve">Bitácora de módulo, 26 de junio: Se formó fila desde antes de abrir. La gente viene molesta porque no hay información oficial de cuándo se va a pagar. No tenemos nada que decirles, a nosotros tampoco nos han informado.</w:t>
      </w:r>
    </w:p>
    <w:p>
      <w:pPr>
        <w:pStyle w:val="Heading2"/>
        <w:spacing w:after="110" w:before="280"/>
      </w:pPr>
      <w:r>
        <w:rPr>
          <w:rFonts w:ascii="Arial" w:cs="Arial" w:eastAsia="Arial" w:hAnsi="Arial"/>
          <w:b/>
          <w:bCs/>
          <w:color w:val="2E5496"/>
          <w:sz w:val="24"/>
          <w:szCs w:val="24"/>
        </w:rPr>
        <w:t xml:space="preserve">Instrucciones para el equipo</w:t>
      </w:r>
    </w:p>
    <w:p>
      <w:pPr>
        <w:spacing w:after="130" w:line="290"/>
        <w:jc w:val="both"/>
      </w:pPr>
      <w:r>
        <w:rPr>
          <w:rFonts w:ascii="Arial" w:cs="Arial" w:eastAsia="Arial" w:hAnsi="Arial"/>
          <w:b w:val="false"/>
          <w:bCs w:val="false"/>
          <w:i w:val="false"/>
          <w:iCs w:val="false"/>
          <w:sz w:val="21"/>
          <w:szCs w:val="21"/>
        </w:rPr>
        <w:t xml:space="preserve">Primero, identifique los patrones que aparecen en el expediente usando las técnicas de la Sesión 4. Segundo, construya la matriz de evidencia con al menos doce afirmaciones trazadas, usando la plantilla del archivo de Excel. Tercero, redacte una síntesis cualitativa de máximo dos cuartillas que responda la pregunta de evaluación asignada.</w:t>
      </w:r>
    </w:p>
    <w:p>
      <w:pPr>
        <w:spacing w:after="130" w:line="290"/>
        <w:jc w:val="both"/>
      </w:pPr>
      <w:r>
        <w:rPr>
          <w:rFonts w:ascii="Arial" w:cs="Arial" w:eastAsia="Arial" w:hAnsi="Arial"/>
          <w:b/>
          <w:bCs/>
          <w:i w:val="false"/>
          <w:iCs w:val="false"/>
          <w:sz w:val="21"/>
          <w:szCs w:val="21"/>
        </w:rPr>
        <w:t xml:space="preserve">La regla dura del laboratorio es que ninguna frase de la síntesis puede afirmar algo que no esté en la matriz. Si una afirmación le parece evidente pero no la puede trazar a un documento del expediente o al marco normativo común, no entra a la síntesis, o entra declarada como hipótesis con nivel de confianza bajo.</w:t>
      </w:r>
    </w:p>
    <w:p>
      <w:pPr>
        <w:spacing w:after="130" w:line="290"/>
        <w:jc w:val="both"/>
      </w:pPr>
      <w:r>
        <w:rPr>
          <w:rFonts w:ascii="Arial" w:cs="Arial" w:eastAsia="Arial" w:hAnsi="Arial"/>
          <w:b w:val="false"/>
          <w:bCs w:val="false"/>
          <w:i w:val="false"/>
          <w:iCs w:val="false"/>
          <w:sz w:val="21"/>
          <w:szCs w:val="21"/>
        </w:rPr>
        <w:t xml:space="preserve">Tenga presente que el marco normativo forma parte del expediente. Varias de las afirmaciones más sólidas que puede construir salen de contrastar lo que reportan los documentos contra lo que establecen las Reglas de Operación.</w:t>
      </w:r>
    </w:p>
    <w:p>
      <w:r>
        <w:br w:type="page"/>
      </w:r>
    </w:p>
    <w:p>
      <w:pPr>
        <w:pStyle w:val="Heading1"/>
        <w:spacing w:after="150" w:before="280"/>
      </w:pPr>
      <w:r>
        <w:rPr>
          <w:rFonts w:ascii="Arial" w:cs="Arial" w:eastAsia="Arial" w:hAnsi="Arial"/>
          <w:b/>
          <w:bCs/>
          <w:color w:val="1F3864"/>
          <w:sz w:val="30"/>
          <w:szCs w:val="30"/>
        </w:rPr>
        <w:t xml:space="preserve">Expediente 4. Entidad D</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700"/>
        <w:gridCol w:w="6660"/>
      </w:tblGrid>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Equipo asignado</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Equipo 4</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Pregunta de evaluación</w:t>
            </w:r>
          </w:p>
        </w:tc>
        <w:tc>
          <w:tcPr>
            <w:tcW w:type="dxa" w:w="6660"/>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¿Por qué disminuyó la cobertura en la entidad, y qué implicaciones tiene la respuesta para el diseño de las Reglas de Operación?</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Personas beneficiarias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17,460</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Cobertura 2024 a 2025</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35.0 a 33.2 por ciento (variación de -1.8 puntos porcentuales)</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Centros comunitarios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29</w:t>
            </w:r>
          </w:p>
        </w:tc>
      </w:tr>
    </w:tbl>
    <w:p>
      <w:pPr>
        <w:pStyle w:val="Heading2"/>
        <w:spacing w:after="110" w:before="280"/>
      </w:pPr>
      <w:r>
        <w:rPr>
          <w:rFonts w:ascii="Arial" w:cs="Arial" w:eastAsia="Arial" w:hAnsi="Arial"/>
          <w:b/>
          <w:bCs/>
          <w:color w:val="2E5496"/>
          <w:sz w:val="24"/>
          <w:szCs w:val="24"/>
        </w:rPr>
        <w:t xml:space="preserve">Documento 1. Extracto del informe estatal de seguimiento 2025</w:t>
      </w:r>
    </w:p>
    <w:p>
      <w:pPr>
        <w:spacing w:after="130" w:line="290"/>
        <w:jc w:val="both"/>
      </w:pPr>
      <w:r>
        <w:rPr>
          <w:rFonts w:ascii="Arial" w:cs="Arial" w:eastAsia="Arial" w:hAnsi="Arial"/>
          <w:b w:val="false"/>
          <w:bCs w:val="false"/>
          <w:i w:val="false"/>
          <w:iCs w:val="false"/>
          <w:sz w:val="21"/>
          <w:szCs w:val="21"/>
        </w:rPr>
        <w:t xml:space="preserve">La Entidad D registró una disminución de 1.8 puntos porcentuales en su cobertura durante 2025. Es una de las tres entidades del conjunto evaluado que presentó variación negativa.</w:t>
      </w:r>
    </w:p>
    <w:p>
      <w:pPr>
        <w:spacing w:after="130" w:line="290"/>
        <w:jc w:val="both"/>
      </w:pPr>
      <w:r>
        <w:rPr>
          <w:rFonts w:ascii="Arial" w:cs="Arial" w:eastAsia="Arial" w:hAnsi="Arial"/>
          <w:b w:val="false"/>
          <w:bCs w:val="false"/>
          <w:i w:val="false"/>
          <w:iCs w:val="false"/>
          <w:sz w:val="21"/>
          <w:szCs w:val="21"/>
        </w:rPr>
        <w:t xml:space="preserve">La coordinación estatal reporta que el número de incorporaciones nuevas se mantuvo estable respecto del ejercicio anterior. La disminución del padrón se explica por el número de bajas, que creció de manera considerable.</w:t>
      </w:r>
    </w:p>
    <w:p>
      <w:pPr>
        <w:spacing w:after="130" w:line="290"/>
        <w:jc w:val="both"/>
      </w:pPr>
      <w:r>
        <w:rPr>
          <w:rFonts w:ascii="Arial" w:cs="Arial" w:eastAsia="Arial" w:hAnsi="Arial"/>
          <w:b w:val="false"/>
          <w:bCs w:val="false"/>
          <w:i w:val="false"/>
          <w:iCs w:val="false"/>
          <w:sz w:val="21"/>
          <w:szCs w:val="21"/>
        </w:rPr>
        <w:t xml:space="preserve">Durante el ejercicio, el proveedor bancario realizó un ajuste a su red de corresponsalías en la entidad. Diecisiete puntos de retiro ubicados en localidades de menos de 2,500 habitantes dejaron de operar entre marzo y mayo. La coordinación estatal reportó el ajuste y solicitó la instalación de puntos alternos, sin que a la fecha del corte se hubiera concretado.</w:t>
      </w:r>
    </w:p>
    <w:p>
      <w:pPr>
        <w:spacing w:after="130" w:line="290"/>
        <w:jc w:val="both"/>
      </w:pPr>
      <w:r>
        <w:rPr>
          <w:rFonts w:ascii="Arial" w:cs="Arial" w:eastAsia="Arial" w:hAnsi="Arial"/>
          <w:b w:val="false"/>
          <w:bCs w:val="false"/>
          <w:i w:val="false"/>
          <w:iCs w:val="false"/>
          <w:sz w:val="21"/>
          <w:szCs w:val="21"/>
        </w:rPr>
        <w:t xml:space="preserve">El desglose de las bajas por causal y por tamaño de localidad se anexa al expediente.</w:t>
      </w:r>
    </w:p>
    <w:p>
      <w:pPr>
        <w:pStyle w:val="Heading2"/>
        <w:spacing w:after="110" w:before="280"/>
      </w:pPr>
      <w:r>
        <w:rPr>
          <w:rFonts w:ascii="Arial" w:cs="Arial" w:eastAsia="Arial" w:hAnsi="Arial"/>
          <w:b/>
          <w:bCs/>
          <w:color w:val="2E5496"/>
          <w:sz w:val="24"/>
          <w:szCs w:val="24"/>
        </w:rPr>
        <w:t xml:space="preserve">Documento 2. Registros administrativos</w:t>
      </w:r>
    </w:p>
    <w:p>
      <w:pPr>
        <w:spacing w:after="80" w:before="200"/>
      </w:pPr>
      <w:r>
        <w:rPr>
          <w:rFonts w:ascii="Arial" w:cs="Arial" w:eastAsia="Arial" w:hAnsi="Arial"/>
          <w:b/>
          <w:bCs/>
          <w:sz w:val="19"/>
          <w:szCs w:val="19"/>
        </w:rPr>
        <w:t xml:space="preserve">Tabla D1. Bajas del padrón por causal, 2024 y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4200"/>
        <w:gridCol w:w="1700"/>
        <w:gridCol w:w="1700"/>
        <w:gridCol w:w="1760"/>
      </w:tblGrid>
      <w:tr>
        <w:trPr>
          <w:tblHeader/>
        </w:trPr>
        <w:tc>
          <w:tcPr>
            <w:tcW w:type="dxa" w:w="42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Causal de baja</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2024</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2025</w:t>
            </w:r>
          </w:p>
        </w:tc>
        <w:tc>
          <w:tcPr>
            <w:tcW w:type="dxa" w:w="17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Variación</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No cobrar durante dos bimestres consecutivos</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412</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1,864</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+352%</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No acreditar permanencia en la revalidación</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338</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361</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Baja voluntaria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196</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188</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Fallecimiento de la persona cuidadora o cuidada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154</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149</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Información falsa o inconsistente</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41</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38</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de bajas</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1,141</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2,600</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+128%</w:t>
            </w:r>
          </w:p>
        </w:tc>
      </w:tr>
    </w:tbl>
    <w:p>
      <w:pPr>
        <w:spacing w:after="80" w:before="200"/>
      </w:pPr>
      <w:r>
        <w:rPr>
          <w:rFonts w:ascii="Arial" w:cs="Arial" w:eastAsia="Arial" w:hAnsi="Arial"/>
          <w:b/>
          <w:bCs/>
          <w:sz w:val="19"/>
          <w:szCs w:val="19"/>
        </w:rPr>
        <w:t xml:space="preserve">Tabla D2. Bajas por artículo 27 según tamaño de localidad y disponibilidad de punto de retiro,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000"/>
        <w:gridCol w:w="1700"/>
        <w:gridCol w:w="1700"/>
        <w:gridCol w:w="1500"/>
        <w:gridCol w:w="1460"/>
      </w:tblGrid>
      <w:tr>
        <w:trPr>
          <w:tblHeader/>
        </w:trPr>
        <w:tc>
          <w:tcPr>
            <w:tcW w:type="dxa" w:w="30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Tamaño de localidad</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Padrón promedio del ejercicio</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Bajas art. 27</w:t>
            </w:r>
          </w:p>
        </w:tc>
        <w:tc>
          <w:tcPr>
            <w:tcW w:type="dxa" w:w="15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Tasa</w:t>
            </w:r>
          </w:p>
        </w:tc>
        <w:tc>
          <w:tcPr>
            <w:tcW w:type="dxa" w:w="14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Perdió punto de retiro</w:t>
            </w:r>
          </w:p>
        </w:tc>
      </w:tr>
      <w:tr>
        <w:tc>
          <w:tcPr>
            <w:tcW w:type="dxa" w:w="3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Menos de 2,500 habitantes</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5,940</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1,528</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25.7%</w:t>
            </w:r>
          </w:p>
        </w:tc>
        <w:tc>
          <w:tcPr>
            <w:tcW w:type="dxa" w:w="14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Sí, 17 localidades</w:t>
            </w:r>
          </w:p>
        </w:tc>
      </w:tr>
      <w:tr>
        <w:tc>
          <w:tcPr>
            <w:tcW w:type="dxa" w:w="3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De 2,500 a 15,000</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6,104</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241</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3.9%</w:t>
            </w:r>
          </w:p>
        </w:tc>
        <w:tc>
          <w:tcPr>
            <w:tcW w:type="dxa" w:w="14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No</w:t>
            </w:r>
          </w:p>
        </w:tc>
      </w:tr>
      <w:tr>
        <w:tc>
          <w:tcPr>
            <w:tcW w:type="dxa" w:w="3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Más de 15,000</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7,876</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95</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w:t>
            </w:r>
          </w:p>
        </w:tc>
        <w:tc>
          <w:tcPr>
            <w:tcW w:type="dxa" w:w="14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No</w:t>
            </w:r>
          </w:p>
        </w:tc>
      </w:tr>
      <w:tr>
        <w:tc>
          <w:tcPr>
            <w:tcW w:type="dxa" w:w="3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19,920</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1,864</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9.4%</w:t>
            </w:r>
          </w:p>
        </w:tc>
        <w:tc>
          <w:tcPr>
            <w:tcW w:type="dxa" w:w="14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
            </w:r>
          </w:p>
        </w:tc>
      </w:tr>
    </w:tbl>
    <w:p>
      <w:pPr>
        <w:pStyle w:val="Heading2"/>
        <w:spacing w:after="110" w:before="280"/>
      </w:pPr>
      <w:r>
        <w:rPr>
          <w:rFonts w:ascii="Arial" w:cs="Arial" w:eastAsia="Arial" w:hAnsi="Arial"/>
          <w:b/>
          <w:bCs/>
          <w:color w:val="2E5496"/>
          <w:sz w:val="24"/>
          <w:szCs w:val="24"/>
        </w:rPr>
        <w:t xml:space="preserve">Documento 3. Extractos de bitácoras, testimonios y comunicaciones</w:t>
      </w:r>
    </w:p>
    <w:p>
      <w:pPr>
        <w:spacing w:after="140" w:line="290"/>
        <w:ind w:left="500" w:right="400"/>
        <w:jc w:val="both"/>
      </w:pPr>
      <w:r>
        <w:rPr>
          <w:rFonts w:ascii="Arial" w:cs="Arial" w:eastAsia="Arial" w:hAnsi="Arial"/>
          <w:i/>
          <w:iCs/>
          <w:color w:val="333333"/>
          <w:sz w:val="20"/>
          <w:szCs w:val="20"/>
        </w:rPr>
        <w:t xml:space="preserve">Oficio de la Coordinación Estatal a la Dirección de Operación, 12 de mayo de 2025: Reiteramos la solicitud de instalación de puntos de retiro alternos en las 17 localidades afectadas por el ajuste de la red de corresponsalías. Sin esos puntos, las personas beneficiarias deben trasladarse a la cabecera municipal, con costos de traslado que en varios casos superan el 15 por ciento del monto del apoyo.</w:t>
      </w:r>
    </w:p>
    <w:p>
      <w:pPr>
        <w:spacing w:after="140" w:line="290"/>
        <w:ind w:left="500" w:right="400"/>
        <w:jc w:val="both"/>
      </w:pPr>
      <w:r>
        <w:rPr>
          <w:rFonts w:ascii="Arial" w:cs="Arial" w:eastAsia="Arial" w:hAnsi="Arial"/>
          <w:i/>
          <w:iCs/>
          <w:color w:val="333333"/>
          <w:sz w:val="20"/>
          <w:szCs w:val="20"/>
        </w:rPr>
        <w:t xml:space="preserve">Grupo focal, localidad rural, 21 de noviembre. Participante: A mí me dieron de baja por no cobrar. Pero cómo cobraba, si me cerraron la tienda donde retiraba y el camión a la cabecera pasa dos veces por semana y son ochenta pesos de ida y vuelta. Dejé pasar dos y ya con eso me sacaron.</w:t>
      </w:r>
    </w:p>
    <w:p>
      <w:pPr>
        <w:spacing w:after="140" w:line="290"/>
        <w:ind w:left="500" w:right="400"/>
        <w:jc w:val="both"/>
      </w:pPr>
      <w:r>
        <w:rPr>
          <w:rFonts w:ascii="Arial" w:cs="Arial" w:eastAsia="Arial" w:hAnsi="Arial"/>
          <w:i/>
          <w:iCs/>
          <w:color w:val="333333"/>
          <w:sz w:val="20"/>
          <w:szCs w:val="20"/>
        </w:rPr>
        <w:t xml:space="preserve">Bitácora de supervisión, 8 de octubre: Personal del módulo reporta que reciben varias solicitudes semanales de reingreso de personas dadas de baja por artículo 27. El procedimiento de reingreso implica presentar nuevamente el expediente completo. Muchas no lo completan.</w:t>
      </w:r>
    </w:p>
    <w:p>
      <w:pPr>
        <w:pStyle w:val="Heading2"/>
        <w:spacing w:after="110" w:before="280"/>
      </w:pPr>
      <w:r>
        <w:rPr>
          <w:rFonts w:ascii="Arial" w:cs="Arial" w:eastAsia="Arial" w:hAnsi="Arial"/>
          <w:b/>
          <w:bCs/>
          <w:color w:val="2E5496"/>
          <w:sz w:val="24"/>
          <w:szCs w:val="24"/>
        </w:rPr>
        <w:t xml:space="preserve">Instrucciones para el equipo</w:t>
      </w:r>
    </w:p>
    <w:p>
      <w:pPr>
        <w:spacing w:after="130" w:line="290"/>
        <w:jc w:val="both"/>
      </w:pPr>
      <w:r>
        <w:rPr>
          <w:rFonts w:ascii="Arial" w:cs="Arial" w:eastAsia="Arial" w:hAnsi="Arial"/>
          <w:b w:val="false"/>
          <w:bCs w:val="false"/>
          <w:i w:val="false"/>
          <w:iCs w:val="false"/>
          <w:sz w:val="21"/>
          <w:szCs w:val="21"/>
        </w:rPr>
        <w:t xml:space="preserve">Primero, identifique los patrones que aparecen en el expediente usando las técnicas de la Sesión 4. Segundo, construya la matriz de evidencia con al menos doce afirmaciones trazadas, usando la plantilla del archivo de Excel. Tercero, redacte una síntesis cualitativa de máximo dos cuartillas que responda la pregunta de evaluación asignada.</w:t>
      </w:r>
    </w:p>
    <w:p>
      <w:pPr>
        <w:spacing w:after="130" w:line="290"/>
        <w:jc w:val="both"/>
      </w:pPr>
      <w:r>
        <w:rPr>
          <w:rFonts w:ascii="Arial" w:cs="Arial" w:eastAsia="Arial" w:hAnsi="Arial"/>
          <w:b/>
          <w:bCs/>
          <w:i w:val="false"/>
          <w:iCs w:val="false"/>
          <w:sz w:val="21"/>
          <w:szCs w:val="21"/>
        </w:rPr>
        <w:t xml:space="preserve">La regla dura del laboratorio es que ninguna frase de la síntesis puede afirmar algo que no esté en la matriz. Si una afirmación le parece evidente pero no la puede trazar a un documento del expediente o al marco normativo común, no entra a la síntesis, o entra declarada como hipótesis con nivel de confianza bajo.</w:t>
      </w:r>
    </w:p>
    <w:p>
      <w:pPr>
        <w:spacing w:after="130" w:line="290"/>
        <w:jc w:val="both"/>
      </w:pPr>
      <w:r>
        <w:rPr>
          <w:rFonts w:ascii="Arial" w:cs="Arial" w:eastAsia="Arial" w:hAnsi="Arial"/>
          <w:b w:val="false"/>
          <w:bCs w:val="false"/>
          <w:i w:val="false"/>
          <w:iCs w:val="false"/>
          <w:sz w:val="21"/>
          <w:szCs w:val="21"/>
        </w:rPr>
        <w:t xml:space="preserve">Tenga presente que el marco normativo forma parte del expediente. Varias de las afirmaciones más sólidas que puede construir salen de contrastar lo que reportan los documentos contra lo que establecen las Reglas de Operación.</w:t>
      </w:r>
    </w:p>
    <w:p>
      <w:r>
        <w:br w:type="page"/>
      </w:r>
    </w:p>
    <w:p>
      <w:pPr>
        <w:pStyle w:val="Heading1"/>
        <w:spacing w:after="150" w:before="280"/>
      </w:pPr>
      <w:r>
        <w:rPr>
          <w:rFonts w:ascii="Arial" w:cs="Arial" w:eastAsia="Arial" w:hAnsi="Arial"/>
          <w:b/>
          <w:bCs/>
          <w:color w:val="1F3864"/>
          <w:sz w:val="30"/>
          <w:szCs w:val="30"/>
        </w:rPr>
        <w:t xml:space="preserve">Expediente 5. Entidad E</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700"/>
        <w:gridCol w:w="6660"/>
      </w:tblGrid>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Equipo asignado</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Equipo 5</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Pregunta de evaluación</w:t>
            </w:r>
          </w:p>
        </w:tc>
        <w:tc>
          <w:tcPr>
            <w:tcW w:type="dxa" w:w="6660"/>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¿Los criterios de elegibilidad y los requisitos documentales se aplican de manera homogénea en la entidad, y qué efecto tiene la respuesta sobre quién entra y quién no al programa?</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Personas beneficiarias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16,285</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Cobertura 2024 a 2025</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29.7 a 36.4 por ciento (variación de +6.7 puntos porcentuales)</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Centros comunitarios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27</w:t>
            </w:r>
          </w:p>
        </w:tc>
      </w:tr>
    </w:tbl>
    <w:p>
      <w:pPr>
        <w:pStyle w:val="Heading2"/>
        <w:spacing w:after="110" w:before="280"/>
      </w:pPr>
      <w:r>
        <w:rPr>
          <w:rFonts w:ascii="Arial" w:cs="Arial" w:eastAsia="Arial" w:hAnsi="Arial"/>
          <w:b/>
          <w:bCs/>
          <w:color w:val="2E5496"/>
          <w:sz w:val="24"/>
          <w:szCs w:val="24"/>
        </w:rPr>
        <w:t xml:space="preserve">Documento 1. Extracto del informe estatal de seguimiento 2025</w:t>
      </w:r>
    </w:p>
    <w:p>
      <w:pPr>
        <w:spacing w:after="130" w:line="290"/>
        <w:jc w:val="both"/>
      </w:pPr>
      <w:r>
        <w:rPr>
          <w:rFonts w:ascii="Arial" w:cs="Arial" w:eastAsia="Arial" w:hAnsi="Arial"/>
          <w:b w:val="false"/>
          <w:bCs w:val="false"/>
          <w:i w:val="false"/>
          <w:iCs w:val="false"/>
          <w:sz w:val="21"/>
          <w:szCs w:val="21"/>
        </w:rPr>
        <w:t xml:space="preserve">La Entidad E incrementó su cobertura en 6.7 puntos porcentuales, el tercer mejor resultado del conjunto. La entidad opera con once módulos permanentes distribuidos en ocho municipios.</w:t>
      </w:r>
    </w:p>
    <w:p>
      <w:pPr>
        <w:spacing w:after="130" w:line="290"/>
        <w:jc w:val="both"/>
      </w:pPr>
      <w:r>
        <w:rPr>
          <w:rFonts w:ascii="Arial" w:cs="Arial" w:eastAsia="Arial" w:hAnsi="Arial"/>
          <w:b w:val="false"/>
          <w:bCs w:val="false"/>
          <w:i w:val="false"/>
          <w:iCs w:val="false"/>
          <w:sz w:val="21"/>
          <w:szCs w:val="21"/>
        </w:rPr>
        <w:t xml:space="preserve">La coordinación estatal reporta que el proceso de incorporación se ejecuta conforme a las Reglas de Operación y que el personal de módulos recibió capacitación en febrero sobre los requisitos documentales.</w:t>
      </w:r>
    </w:p>
    <w:p>
      <w:pPr>
        <w:spacing w:after="130" w:line="290"/>
        <w:jc w:val="both"/>
      </w:pPr>
      <w:r>
        <w:rPr>
          <w:rFonts w:ascii="Arial" w:cs="Arial" w:eastAsia="Arial" w:hAnsi="Arial"/>
          <w:b w:val="false"/>
          <w:bCs w:val="false"/>
          <w:i w:val="false"/>
          <w:iCs w:val="false"/>
          <w:sz w:val="21"/>
          <w:szCs w:val="21"/>
        </w:rPr>
        <w:t xml:space="preserve">Durante el cuarto trimestre, la Unidad de Padrón realizó un análisis comparativo de las tasas de rechazo entre módulos, a solicitud de la Dirección de Operación. El análisis se originó por el volumen de quejas recibidas en el canal telefónico.</w:t>
      </w:r>
    </w:p>
    <w:p>
      <w:pPr>
        <w:spacing w:after="130" w:line="290"/>
        <w:jc w:val="both"/>
      </w:pPr>
      <w:r>
        <w:rPr>
          <w:rFonts w:ascii="Arial" w:cs="Arial" w:eastAsia="Arial" w:hAnsi="Arial"/>
          <w:b w:val="false"/>
          <w:bCs w:val="false"/>
          <w:i w:val="false"/>
          <w:iCs w:val="false"/>
          <w:sz w:val="21"/>
          <w:szCs w:val="21"/>
        </w:rPr>
        <w:t xml:space="preserve">El resultado del análisis y una muestra de los motivos de rechazo asentados se anexan al expediente.</w:t>
      </w:r>
    </w:p>
    <w:p>
      <w:pPr>
        <w:pStyle w:val="Heading2"/>
        <w:spacing w:after="110" w:before="280"/>
      </w:pPr>
      <w:r>
        <w:rPr>
          <w:rFonts w:ascii="Arial" w:cs="Arial" w:eastAsia="Arial" w:hAnsi="Arial"/>
          <w:b/>
          <w:bCs/>
          <w:color w:val="2E5496"/>
          <w:sz w:val="24"/>
          <w:szCs w:val="24"/>
        </w:rPr>
        <w:t xml:space="preserve">Documento 2. Registros administrativos</w:t>
      </w:r>
    </w:p>
    <w:p>
      <w:pPr>
        <w:spacing w:after="80" w:before="200"/>
      </w:pPr>
      <w:r>
        <w:rPr>
          <w:rFonts w:ascii="Arial" w:cs="Arial" w:eastAsia="Arial" w:hAnsi="Arial"/>
          <w:b/>
          <w:bCs/>
          <w:sz w:val="19"/>
          <w:szCs w:val="19"/>
        </w:rPr>
        <w:t xml:space="preserve">Tabla E1. Solicitudes recibidas y rechazadas por módulo,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1800"/>
        <w:gridCol w:w="1800"/>
        <w:gridCol w:w="1700"/>
        <w:gridCol w:w="1660"/>
      </w:tblGrid>
      <w:tr>
        <w:trPr>
          <w:tblHeader/>
        </w:trPr>
        <w:tc>
          <w:tcPr>
            <w:tcW w:type="dxa" w:w="24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Módulo</w:t>
            </w:r>
          </w:p>
        </w:tc>
        <w:tc>
          <w:tcPr>
            <w:tcW w:type="dxa" w:w="18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Solicitudes</w:t>
            </w:r>
          </w:p>
        </w:tc>
        <w:tc>
          <w:tcPr>
            <w:tcW w:type="dxa" w:w="18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Rechazadas</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Tasa de rechazo</w:t>
            </w:r>
          </w:p>
        </w:tc>
        <w:tc>
          <w:tcPr>
            <w:tcW w:type="dxa" w:w="16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Municipio</w:t>
            </w:r>
          </w:p>
        </w:tc>
      </w:tr>
      <w:tr>
        <w:tc>
          <w:tcPr>
            <w:tcW w:type="dxa" w:w="2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Módulo 01</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1,842</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129</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7.0%</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Cabecera</w:t>
            </w:r>
          </w:p>
        </w:tc>
      </w:tr>
      <w:tr>
        <w:tc>
          <w:tcPr>
            <w:tcW w:type="dxa" w:w="2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Módulo 02</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1,506</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98</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6.5%</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Cabecera</w:t>
            </w:r>
          </w:p>
        </w:tc>
      </w:tr>
      <w:tr>
        <w:tc>
          <w:tcPr>
            <w:tcW w:type="dxa" w:w="2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Módulo 03</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1,214</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341</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28.1%</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Villa Hidalgo</w:t>
            </w:r>
          </w:p>
        </w:tc>
      </w:tr>
      <w:tr>
        <w:tc>
          <w:tcPr>
            <w:tcW w:type="dxa" w:w="2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Módulo 04</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1,088</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76</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7.0%</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Nuevo Progreso</w:t>
            </w:r>
          </w:p>
        </w:tc>
      </w:tr>
      <w:tr>
        <w:tc>
          <w:tcPr>
            <w:tcW w:type="dxa" w:w="2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Módulo 05</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974</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289</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29.7%</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La Purísima</w:t>
            </w:r>
          </w:p>
        </w:tc>
      </w:tr>
      <w:tr>
        <w:tc>
          <w:tcPr>
            <w:tcW w:type="dxa" w:w="2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Módulo 06</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861</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61</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7.1%</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Tlacotepec</w:t>
            </w:r>
          </w:p>
        </w:tc>
      </w:tr>
      <w:tr>
        <w:tc>
          <w:tcPr>
            <w:tcW w:type="dxa" w:w="2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Módulos 07 a 11</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3,402</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254</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7.5%</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Varios</w:t>
            </w:r>
          </w:p>
        </w:tc>
      </w:tr>
      <w:tr>
        <w:tc>
          <w:tcPr>
            <w:tcW w:type="dxa" w:w="2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estatal</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10,887</w:t>
            </w:r>
          </w:p>
        </w:tc>
        <w:tc>
          <w:tcPr>
            <w:tcW w:type="dxa" w:w="18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1,248</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11.5%</w:t>
            </w:r>
          </w:p>
        </w:tc>
        <w:tc>
          <w:tcPr>
            <w:tcW w:type="dxa" w:w="16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
            </w:r>
          </w:p>
        </w:tc>
      </w:tr>
    </w:tbl>
    <w:p>
      <w:pPr>
        <w:spacing w:after="80" w:before="200"/>
      </w:pPr>
      <w:r>
        <w:rPr>
          <w:rFonts w:ascii="Arial" w:cs="Arial" w:eastAsia="Arial" w:hAnsi="Arial"/>
          <w:b/>
          <w:bCs/>
          <w:sz w:val="19"/>
          <w:szCs w:val="19"/>
        </w:rPr>
        <w:t xml:space="preserve">Tabla E2. Motivos de rechazo asentados, muestra de 200 casos de los módulos 03 y 05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000"/>
        <w:gridCol w:w="1500"/>
        <w:gridCol w:w="1500"/>
        <w:gridCol w:w="1360"/>
      </w:tblGrid>
      <w:tr>
        <w:trPr>
          <w:tblHeader/>
        </w:trPr>
        <w:tc>
          <w:tcPr>
            <w:tcW w:type="dxa" w:w="50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Motivo asentado en el acuse</w:t>
            </w:r>
          </w:p>
        </w:tc>
        <w:tc>
          <w:tcPr>
            <w:tcW w:type="dxa" w:w="15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Casos</w:t>
            </w:r>
          </w:p>
        </w:tc>
        <w:tc>
          <w:tcPr>
            <w:tcW w:type="dxa" w:w="15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Porcentaje</w:t>
            </w:r>
          </w:p>
        </w:tc>
        <w:tc>
          <w:tcPr>
            <w:tcW w:type="dxa" w:w="13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Previsto en las ROP</w:t>
            </w:r>
          </w:p>
        </w:tc>
      </w:tr>
      <w:tr>
        <w:tc>
          <w:tcPr>
            <w:tcW w:type="dxa" w:w="5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No presentó constancia de residencia municipal</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84</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42.0</w:t>
            </w:r>
          </w:p>
        </w:tc>
        <w:tc>
          <w:tcPr>
            <w:tcW w:type="dxa" w:w="1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No</w:t>
            </w:r>
          </w:p>
        </w:tc>
      </w:tr>
      <w:tr>
        <w:tc>
          <w:tcPr>
            <w:tcW w:type="dxa" w:w="5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Comprobante de domicilio no está a nombre de la persona solicitante</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51</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25.5</w:t>
            </w:r>
          </w:p>
        </w:tc>
        <w:tc>
          <w:tcPr>
            <w:tcW w:type="dxa" w:w="1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No</w:t>
            </w:r>
          </w:p>
        </w:tc>
      </w:tr>
      <w:tr>
        <w:tc>
          <w:tcPr>
            <w:tcW w:type="dxa" w:w="5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No presentó comprobante de domicilio vigente</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33</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16.5</w:t>
            </w:r>
          </w:p>
        </w:tc>
        <w:tc>
          <w:tcPr>
            <w:tcW w:type="dxa" w:w="1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Sí</w:t>
            </w:r>
          </w:p>
        </w:tc>
      </w:tr>
      <w:tr>
        <w:tc>
          <w:tcPr>
            <w:tcW w:type="dxa" w:w="5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No presentó constancia médica cuando aplicaba</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19</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9.5</w:t>
            </w:r>
          </w:p>
        </w:tc>
        <w:tc>
          <w:tcPr>
            <w:tcW w:type="dxa" w:w="1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Sí</w:t>
            </w:r>
          </w:p>
        </w:tc>
      </w:tr>
      <w:tr>
        <w:tc>
          <w:tcPr>
            <w:tcW w:type="dxa" w:w="5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Otros motivos</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13</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6.5</w:t>
            </w:r>
          </w:p>
        </w:tc>
        <w:tc>
          <w:tcPr>
            <w:tcW w:type="dxa" w:w="1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Parcialmente</w:t>
            </w:r>
          </w:p>
        </w:tc>
      </w:tr>
      <w:tr>
        <w:tc>
          <w:tcPr>
            <w:tcW w:type="dxa" w:w="50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de la muestra</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200</w:t>
            </w:r>
          </w:p>
        </w:tc>
        <w:tc>
          <w:tcPr>
            <w:tcW w:type="dxa" w:w="15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100.0</w:t>
            </w:r>
          </w:p>
        </w:tc>
        <w:tc>
          <w:tcPr>
            <w:tcW w:type="dxa" w:w="13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
            </w:r>
          </w:p>
        </w:tc>
      </w:tr>
    </w:tbl>
    <w:p>
      <w:pPr>
        <w:pStyle w:val="Heading2"/>
        <w:spacing w:after="110" w:before="280"/>
      </w:pPr>
      <w:r>
        <w:rPr>
          <w:rFonts w:ascii="Arial" w:cs="Arial" w:eastAsia="Arial" w:hAnsi="Arial"/>
          <w:b/>
          <w:bCs/>
          <w:color w:val="2E5496"/>
          <w:sz w:val="24"/>
          <w:szCs w:val="24"/>
        </w:rPr>
        <w:t xml:space="preserve">Documento 3. Extractos de bitácoras, testimonios y comunicaciones</w:t>
      </w:r>
    </w:p>
    <w:p>
      <w:pPr>
        <w:spacing w:after="140" w:line="290"/>
        <w:ind w:left="500" w:right="400"/>
        <w:jc w:val="both"/>
      </w:pPr>
      <w:r>
        <w:rPr>
          <w:rFonts w:ascii="Arial" w:cs="Arial" w:eastAsia="Arial" w:hAnsi="Arial"/>
          <w:i/>
          <w:iCs/>
          <w:color w:val="333333"/>
          <w:sz w:val="20"/>
          <w:szCs w:val="20"/>
        </w:rPr>
        <w:t xml:space="preserve">Registro de atención telefónica, 17 de octubre: La ciudadana refiere que en el módulo de Villa Hidalgo le pidieron constancia de residencia municipal y que su hermana hizo el mismo trámite en la cabecera y ahí no se la pidieron. Solicita que le expliquen cuál es el requisito correcto.</w:t>
      </w:r>
    </w:p>
    <w:p>
      <w:pPr>
        <w:spacing w:after="140" w:line="290"/>
        <w:ind w:left="500" w:right="400"/>
        <w:jc w:val="both"/>
      </w:pPr>
      <w:r>
        <w:rPr>
          <w:rFonts w:ascii="Arial" w:cs="Arial" w:eastAsia="Arial" w:hAnsi="Arial"/>
          <w:i/>
          <w:iCs/>
          <w:color w:val="333333"/>
          <w:sz w:val="20"/>
          <w:szCs w:val="20"/>
        </w:rPr>
        <w:t xml:space="preserve">Entrevista con personal del módulo 05, 2 de diciembre: Nosotros pedimos la constancia de residencia porque aquí hay mucha gente que viene de fuera nada más a registrarse y luego se va. Es un criterio que acordamos con la presidencia municipal para que el apoyo se quede en la gente de aquí.</w:t>
      </w:r>
    </w:p>
    <w:p>
      <w:pPr>
        <w:spacing w:after="140" w:line="290"/>
        <w:ind w:left="500" w:right="400"/>
        <w:jc w:val="both"/>
      </w:pPr>
      <w:r>
        <w:rPr>
          <w:rFonts w:ascii="Arial" w:cs="Arial" w:eastAsia="Arial" w:hAnsi="Arial"/>
          <w:i/>
          <w:iCs/>
          <w:color w:val="333333"/>
          <w:sz w:val="20"/>
          <w:szCs w:val="20"/>
        </w:rPr>
        <w:t xml:space="preserve">Acta de la capacitación estatal a personal de módulos, 18 de febrero: Se revisaron los requisitos documentales del artículo 9. Se hizo énfasis en que la lista de requisitos es limitativa y que no deben solicitarse documentos adicionales. Asistieron 9 de los 11 módulos. Los módulos 03 y 05 no enviaron personal.</w:t>
      </w:r>
    </w:p>
    <w:p>
      <w:pPr>
        <w:pStyle w:val="Heading2"/>
        <w:spacing w:after="110" w:before="280"/>
      </w:pPr>
      <w:r>
        <w:rPr>
          <w:rFonts w:ascii="Arial" w:cs="Arial" w:eastAsia="Arial" w:hAnsi="Arial"/>
          <w:b/>
          <w:bCs/>
          <w:color w:val="2E5496"/>
          <w:sz w:val="24"/>
          <w:szCs w:val="24"/>
        </w:rPr>
        <w:t xml:space="preserve">Instrucciones para el equipo</w:t>
      </w:r>
    </w:p>
    <w:p>
      <w:pPr>
        <w:spacing w:after="130" w:line="290"/>
        <w:jc w:val="both"/>
      </w:pPr>
      <w:r>
        <w:rPr>
          <w:rFonts w:ascii="Arial" w:cs="Arial" w:eastAsia="Arial" w:hAnsi="Arial"/>
          <w:b w:val="false"/>
          <w:bCs w:val="false"/>
          <w:i w:val="false"/>
          <w:iCs w:val="false"/>
          <w:sz w:val="21"/>
          <w:szCs w:val="21"/>
        </w:rPr>
        <w:t xml:space="preserve">Primero, identifique los patrones que aparecen en el expediente usando las técnicas de la Sesión 4. Segundo, construya la matriz de evidencia con al menos doce afirmaciones trazadas, usando la plantilla del archivo de Excel. Tercero, redacte una síntesis cualitativa de máximo dos cuartillas que responda la pregunta de evaluación asignada.</w:t>
      </w:r>
    </w:p>
    <w:p>
      <w:pPr>
        <w:spacing w:after="130" w:line="290"/>
        <w:jc w:val="both"/>
      </w:pPr>
      <w:r>
        <w:rPr>
          <w:rFonts w:ascii="Arial" w:cs="Arial" w:eastAsia="Arial" w:hAnsi="Arial"/>
          <w:b/>
          <w:bCs/>
          <w:i w:val="false"/>
          <w:iCs w:val="false"/>
          <w:sz w:val="21"/>
          <w:szCs w:val="21"/>
        </w:rPr>
        <w:t xml:space="preserve">La regla dura del laboratorio es que ninguna frase de la síntesis puede afirmar algo que no esté en la matriz. Si una afirmación le parece evidente pero no la puede trazar a un documento del expediente o al marco normativo común, no entra a la síntesis, o entra declarada como hipótesis con nivel de confianza bajo.</w:t>
      </w:r>
    </w:p>
    <w:p>
      <w:pPr>
        <w:spacing w:after="130" w:line="290"/>
        <w:jc w:val="both"/>
      </w:pPr>
      <w:r>
        <w:rPr>
          <w:rFonts w:ascii="Arial" w:cs="Arial" w:eastAsia="Arial" w:hAnsi="Arial"/>
          <w:b w:val="false"/>
          <w:bCs w:val="false"/>
          <w:i w:val="false"/>
          <w:iCs w:val="false"/>
          <w:sz w:val="21"/>
          <w:szCs w:val="21"/>
        </w:rPr>
        <w:t xml:space="preserve">Tenga presente que el marco normativo forma parte del expediente. Varias de las afirmaciones más sólidas que puede construir salen de contrastar lo que reportan los documentos contra lo que establecen las Reglas de Operación.</w:t>
      </w:r>
    </w:p>
    <w:p>
      <w:r>
        <w:br w:type="page"/>
      </w:r>
    </w:p>
    <w:p>
      <w:pPr>
        <w:pStyle w:val="Heading1"/>
        <w:spacing w:after="150" w:before="280"/>
      </w:pPr>
      <w:r>
        <w:rPr>
          <w:rFonts w:ascii="Arial" w:cs="Arial" w:eastAsia="Arial" w:hAnsi="Arial"/>
          <w:b/>
          <w:bCs/>
          <w:color w:val="1F3864"/>
          <w:sz w:val="30"/>
          <w:szCs w:val="30"/>
        </w:rPr>
        <w:t xml:space="preserve">Expediente 6. Entidad F</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700"/>
        <w:gridCol w:w="6660"/>
      </w:tblGrid>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Equipo asignado</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Equipo 6</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Pregunta de evaluación</w:t>
            </w:r>
          </w:p>
        </w:tc>
        <w:tc>
          <w:tcPr>
            <w:tcW w:type="dxa" w:w="6660"/>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¿El diseño del programa resulta pertinente para el contexto de la entidad, y qué debería cambiar en las Reglas de Operación a partir de la respuesta?</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Personas beneficiarias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14,930</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Cobertura 2024 a 2025</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33.6 a 31.9 por ciento (variación de -1.7 puntos porcentuales)</w:t>
            </w:r>
          </w:p>
        </w:tc>
      </w:tr>
      <w:tr>
        <w:tc>
          <w:tcPr>
            <w:tcW w:type="dxa" w:w="2700"/>
            <w:shd w:fill="EDF2FA" w:color="auto" w:val="clear"/>
            <w:tcMar>
              <w:top w:type="dxa" w:w="70"/>
              <w:left w:type="dxa" w:w="100"/>
              <w:bottom w:type="dxa" w:w="70"/>
              <w:right w:type="dxa" w:w="100"/>
            </w:tcMar>
          </w:tcPr>
          <w:p>
            <w:pPr>
              <w:spacing w:after="0" w:line="270"/>
              <w:jc w:val="left"/>
            </w:pPr>
            <w:r>
              <w:rPr>
                <w:rFonts w:ascii="Arial" w:cs="Arial" w:eastAsia="Arial" w:hAnsi="Arial"/>
                <w:b/>
                <w:bCs/>
                <w:i w:val="false"/>
                <w:iCs w:val="false"/>
                <w:sz w:val="19"/>
                <w:szCs w:val="19"/>
              </w:rPr>
              <w:t xml:space="preserve">Centros comunitarios</w:t>
            </w:r>
          </w:p>
        </w:tc>
        <w:tc>
          <w:tcPr>
            <w:tcW w:type="dxa" w:w="666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24</w:t>
            </w:r>
          </w:p>
        </w:tc>
      </w:tr>
    </w:tbl>
    <w:p>
      <w:pPr>
        <w:pStyle w:val="Heading2"/>
        <w:spacing w:after="110" w:before="280"/>
      </w:pPr>
      <w:r>
        <w:rPr>
          <w:rFonts w:ascii="Arial" w:cs="Arial" w:eastAsia="Arial" w:hAnsi="Arial"/>
          <w:b/>
          <w:bCs/>
          <w:color w:val="2E5496"/>
          <w:sz w:val="24"/>
          <w:szCs w:val="24"/>
        </w:rPr>
        <w:t xml:space="preserve">Documento 1. Extracto del informe estatal de seguimiento 2025</w:t>
      </w:r>
    </w:p>
    <w:p>
      <w:pPr>
        <w:spacing w:after="130" w:line="290"/>
        <w:jc w:val="both"/>
      </w:pPr>
      <w:r>
        <w:rPr>
          <w:rFonts w:ascii="Arial" w:cs="Arial" w:eastAsia="Arial" w:hAnsi="Arial"/>
          <w:b w:val="false"/>
          <w:bCs w:val="false"/>
          <w:i w:val="false"/>
          <w:iCs w:val="false"/>
          <w:sz w:val="21"/>
          <w:szCs w:val="21"/>
        </w:rPr>
        <w:t xml:space="preserve">La Entidad F registró una disminución de 1.7 puntos porcentuales en su cobertura. La entidad tiene la proporción más alta de población hablante de lengua indígena del conjunto evaluado, con 38.4 por ciento de su población total según la última estimación disponible.</w:t>
      </w:r>
    </w:p>
    <w:p>
      <w:pPr>
        <w:spacing w:after="130" w:line="290"/>
        <w:jc w:val="both"/>
      </w:pPr>
      <w:r>
        <w:rPr>
          <w:rFonts w:ascii="Arial" w:cs="Arial" w:eastAsia="Arial" w:hAnsi="Arial"/>
          <w:b w:val="false"/>
          <w:bCs w:val="false"/>
          <w:i w:val="false"/>
          <w:iCs w:val="false"/>
          <w:sz w:val="21"/>
          <w:szCs w:val="21"/>
        </w:rPr>
        <w:t xml:space="preserve">Durante el ejercicio dejaron de operar dos centros comunitarios, ambos en localidades de población mayoritariamente hablante de lengua indígena. La coordinación estatal reporta que el cierre se debió a la imposibilidad de cubrir las plazas de personal responsable tras la renuncia del personal previo.</w:t>
      </w:r>
    </w:p>
    <w:p>
      <w:pPr>
        <w:spacing w:after="130" w:line="290"/>
        <w:jc w:val="both"/>
      </w:pPr>
      <w:r>
        <w:rPr>
          <w:rFonts w:ascii="Arial" w:cs="Arial" w:eastAsia="Arial" w:hAnsi="Arial"/>
          <w:b w:val="false"/>
          <w:bCs w:val="false"/>
          <w:i w:val="false"/>
          <w:iCs w:val="false"/>
          <w:sz w:val="21"/>
          <w:szCs w:val="21"/>
        </w:rPr>
        <w:t xml:space="preserve">La coordinación estatal señala que las convocatorias de contratación se publican en español y que el requisito de certificación se acredita mediante un curso que se imparte únicamente en la cabecera estatal y en español.</w:t>
      </w:r>
    </w:p>
    <w:p>
      <w:pPr>
        <w:spacing w:after="130" w:line="290"/>
        <w:jc w:val="both"/>
      </w:pPr>
      <w:r>
        <w:rPr>
          <w:rFonts w:ascii="Arial" w:cs="Arial" w:eastAsia="Arial" w:hAnsi="Arial"/>
          <w:b w:val="false"/>
          <w:bCs w:val="false"/>
          <w:i w:val="false"/>
          <w:iCs w:val="false"/>
          <w:sz w:val="21"/>
          <w:szCs w:val="21"/>
        </w:rPr>
        <w:t xml:space="preserve">El análisis de cobertura por condición de habla se anexa al expediente. Las Reglas de Operación vigentes no contienen disposiciones sobre atención en lenguas indígenas ni sobre pertinencia cultural del servicio.</w:t>
      </w:r>
    </w:p>
    <w:p>
      <w:pPr>
        <w:pStyle w:val="Heading2"/>
        <w:spacing w:after="110" w:before="280"/>
      </w:pPr>
      <w:r>
        <w:rPr>
          <w:rFonts w:ascii="Arial" w:cs="Arial" w:eastAsia="Arial" w:hAnsi="Arial"/>
          <w:b/>
          <w:bCs/>
          <w:color w:val="2E5496"/>
          <w:sz w:val="24"/>
          <w:szCs w:val="24"/>
        </w:rPr>
        <w:t xml:space="preserve">Documento 2. Registros administrativos</w:t>
      </w:r>
    </w:p>
    <w:p>
      <w:pPr>
        <w:spacing w:after="80" w:before="200"/>
      </w:pPr>
      <w:r>
        <w:rPr>
          <w:rFonts w:ascii="Arial" w:cs="Arial" w:eastAsia="Arial" w:hAnsi="Arial"/>
          <w:b/>
          <w:bCs/>
          <w:sz w:val="19"/>
          <w:szCs w:val="19"/>
        </w:rPr>
        <w:t xml:space="preserve">Tabla F1. Cobertura por condición de habla de lengua indígena del municipio,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400"/>
        <w:gridCol w:w="2000"/>
        <w:gridCol w:w="2000"/>
        <w:gridCol w:w="1960"/>
      </w:tblGrid>
      <w:tr>
        <w:trPr>
          <w:tblHeader/>
        </w:trPr>
        <w:tc>
          <w:tcPr>
            <w:tcW w:type="dxa" w:w="34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Municipios agrupados por proporción de hablantes</w:t>
            </w:r>
          </w:p>
        </w:tc>
        <w:tc>
          <w:tcPr>
            <w:tcW w:type="dxa" w:w="20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Población objetivo</w:t>
            </w:r>
          </w:p>
        </w:tc>
        <w:tc>
          <w:tcPr>
            <w:tcW w:type="dxa" w:w="20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Beneficiarias</w:t>
            </w:r>
          </w:p>
        </w:tc>
        <w:tc>
          <w:tcPr>
            <w:tcW w:type="dxa" w:w="19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Cobertura</w:t>
            </w:r>
          </w:p>
        </w:tc>
      </w:tr>
      <w:tr>
        <w:tc>
          <w:tcPr>
            <w:tcW w:type="dxa" w:w="3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Menos de 10% de hablantes</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14,208</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7,104</w:t>
            </w:r>
          </w:p>
        </w:tc>
        <w:tc>
          <w:tcPr>
            <w:tcW w:type="dxa" w:w="19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50.0%</w:t>
            </w:r>
          </w:p>
        </w:tc>
      </w:tr>
      <w:tr>
        <w:tc>
          <w:tcPr>
            <w:tcW w:type="dxa" w:w="3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De 10% a 40% de hablantes</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13,940</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4,879</w:t>
            </w:r>
          </w:p>
        </w:tc>
        <w:tc>
          <w:tcPr>
            <w:tcW w:type="dxa" w:w="19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35.0%</w:t>
            </w:r>
          </w:p>
        </w:tc>
      </w:tr>
      <w:tr>
        <w:tc>
          <w:tcPr>
            <w:tcW w:type="dxa" w:w="3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Más de 40% de hablantes</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18,662</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2,947</w:t>
            </w:r>
          </w:p>
        </w:tc>
        <w:tc>
          <w:tcPr>
            <w:tcW w:type="dxa" w:w="19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15.8%</w:t>
            </w:r>
          </w:p>
        </w:tc>
      </w:tr>
      <w:tr>
        <w:tc>
          <w:tcPr>
            <w:tcW w:type="dxa" w:w="34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estatal</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46,810</w:t>
            </w:r>
          </w:p>
        </w:tc>
        <w:tc>
          <w:tcPr>
            <w:tcW w:type="dxa" w:w="20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14,930</w:t>
            </w:r>
          </w:p>
        </w:tc>
        <w:tc>
          <w:tcPr>
            <w:tcW w:type="dxa" w:w="19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31.9%</w:t>
            </w:r>
          </w:p>
        </w:tc>
      </w:tr>
    </w:tbl>
    <w:p>
      <w:pPr>
        <w:spacing w:after="80" w:before="200"/>
      </w:pPr>
      <w:r>
        <w:rPr>
          <w:rFonts w:ascii="Arial" w:cs="Arial" w:eastAsia="Arial" w:hAnsi="Arial"/>
          <w:b/>
          <w:bCs/>
          <w:sz w:val="19"/>
          <w:szCs w:val="19"/>
        </w:rPr>
        <w:t xml:space="preserve">Tabla F2. Solicitudes no concluidas por etapa del trámite, 2025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4200"/>
        <w:gridCol w:w="1700"/>
        <w:gridCol w:w="1700"/>
        <w:gridCol w:w="1760"/>
      </w:tblGrid>
      <w:tr>
        <w:trPr>
          <w:tblHeader/>
        </w:trPr>
        <w:tc>
          <w:tcPr>
            <w:tcW w:type="dxa" w:w="42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Etapa donde se interrumpió el trámite</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Municipios con menos de 40% de hablantes</w:t>
            </w:r>
          </w:p>
        </w:tc>
        <w:tc>
          <w:tcPr>
            <w:tcW w:type="dxa" w:w="170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Municipios con más de 40% de hablantes</w:t>
            </w:r>
          </w:p>
        </w:tc>
        <w:tc>
          <w:tcPr>
            <w:tcW w:type="dxa" w:w="1760"/>
            <w:shd w:fill="D9E2F3" w:color="auto" w:val="clear"/>
            <w:tcMar>
              <w:top w:type="dxa" w:w="70"/>
              <w:left w:type="dxa" w:w="100"/>
              <w:bottom w:type="dxa" w:w="70"/>
              <w:right w:type="dxa" w:w="100"/>
            </w:tcMar>
          </w:tcPr>
          <w:p>
            <w:pPr>
              <w:spacing w:after="0" w:line="270"/>
              <w:jc w:val="center"/>
            </w:pPr>
            <w:r>
              <w:rPr>
                <w:rFonts w:ascii="Arial" w:cs="Arial" w:eastAsia="Arial" w:hAnsi="Arial"/>
                <w:b/>
                <w:bCs/>
                <w:i w:val="false"/>
                <w:iCs w:val="false"/>
                <w:sz w:val="19"/>
                <w:szCs w:val="19"/>
              </w:rPr>
              <w:t xml:space="preserve">Diferencia</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No presentó la solicitud inicial completa</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312</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891</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2.9 veces</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No regresó a completar expediente</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204</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764</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3.7 veces</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No acudió a la visita de verificación</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88</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206</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2.3 veces</w:t>
            </w:r>
          </w:p>
        </w:tc>
      </w:tr>
      <w:tr>
        <w:tc>
          <w:tcPr>
            <w:tcW w:type="dxa" w:w="4200"/>
            <w:tcMar>
              <w:top w:type="dxa" w:w="70"/>
              <w:left w:type="dxa" w:w="100"/>
              <w:bottom w:type="dxa" w:w="70"/>
              <w:right w:type="dxa" w:w="100"/>
            </w:tcMar>
          </w:tcPr>
          <w:p>
            <w:pPr>
              <w:spacing w:after="0" w:line="270"/>
              <w:jc w:val="left"/>
            </w:pPr>
            <w:r>
              <w:rPr>
                <w:rFonts w:ascii="Arial" w:cs="Arial" w:eastAsia="Arial" w:hAnsi="Arial"/>
                <w:b w:val="false"/>
                <w:bCs w:val="false"/>
                <w:i w:val="false"/>
                <w:iCs w:val="false"/>
                <w:sz w:val="19"/>
                <w:szCs w:val="19"/>
              </w:rPr>
              <w:t xml:space="preserve">Total no concluidas</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604</w:t>
            </w:r>
          </w:p>
        </w:tc>
        <w:tc>
          <w:tcPr>
            <w:tcW w:type="dxa" w:w="170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1,861</w:t>
            </w:r>
          </w:p>
        </w:tc>
        <w:tc>
          <w:tcPr>
            <w:tcW w:type="dxa" w:w="1760"/>
            <w:tcMar>
              <w:top w:type="dxa" w:w="70"/>
              <w:left w:type="dxa" w:w="100"/>
              <w:bottom w:type="dxa" w:w="70"/>
              <w:right w:type="dxa" w:w="100"/>
            </w:tcMar>
          </w:tcPr>
          <w:p>
            <w:pPr>
              <w:spacing w:after="0" w:line="270"/>
              <w:jc w:val="center"/>
            </w:pPr>
            <w:r>
              <w:rPr>
                <w:rFonts w:ascii="Arial" w:cs="Arial" w:eastAsia="Arial" w:hAnsi="Arial"/>
                <w:b w:val="false"/>
                <w:bCs w:val="false"/>
                <w:i w:val="false"/>
                <w:iCs w:val="false"/>
                <w:sz w:val="19"/>
                <w:szCs w:val="19"/>
              </w:rPr>
              <w:t xml:space="preserve">3.1 veces</w:t>
            </w:r>
          </w:p>
        </w:tc>
      </w:tr>
    </w:tbl>
    <w:p>
      <w:pPr>
        <w:pStyle w:val="Heading2"/>
        <w:spacing w:after="110" w:before="280"/>
      </w:pPr>
      <w:r>
        <w:rPr>
          <w:rFonts w:ascii="Arial" w:cs="Arial" w:eastAsia="Arial" w:hAnsi="Arial"/>
          <w:b/>
          <w:bCs/>
          <w:color w:val="2E5496"/>
          <w:sz w:val="24"/>
          <w:szCs w:val="24"/>
        </w:rPr>
        <w:t xml:space="preserve">Documento 3. Extractos de bitácoras, testimonios y comunicaciones</w:t>
      </w:r>
    </w:p>
    <w:p>
      <w:pPr>
        <w:spacing w:after="140" w:line="290"/>
        <w:ind w:left="500" w:right="400"/>
        <w:jc w:val="both"/>
      </w:pPr>
      <w:r>
        <w:rPr>
          <w:rFonts w:ascii="Arial" w:cs="Arial" w:eastAsia="Arial" w:hAnsi="Arial"/>
          <w:i/>
          <w:iCs/>
          <w:color w:val="333333"/>
          <w:sz w:val="20"/>
          <w:szCs w:val="20"/>
        </w:rPr>
        <w:t xml:space="preserve">Bitácora de módulo, localidad con alta proporción de hablantes, 6 de mayo: Vinieron tres señoras acompañadas de un nieto que les traducía. No traían todos los papeles. Se les explicó qué faltaba pero no estoy seguro de que hayan entendido bien porque el niño tampoco domina los términos. No regresaron.</w:t>
      </w:r>
    </w:p>
    <w:p>
      <w:pPr>
        <w:spacing w:after="140" w:line="290"/>
        <w:ind w:left="500" w:right="400"/>
        <w:jc w:val="both"/>
      </w:pPr>
      <w:r>
        <w:rPr>
          <w:rFonts w:ascii="Arial" w:cs="Arial" w:eastAsia="Arial" w:hAnsi="Arial"/>
          <w:i/>
          <w:iCs/>
          <w:color w:val="333333"/>
          <w:sz w:val="20"/>
          <w:szCs w:val="20"/>
        </w:rPr>
        <w:t xml:space="preserve">Entrevista con autoridad comunitaria, 19 de noviembre: Aquí la gente sí quiere el apoyo, el problema es que todo el trámite está en español y los formatos también. Y cuando cerraron el centro se acabó lo poco que había. La maestra que estaba era de aquí y hablaba la lengua, cuando se fue trajeron a una de la ciudad y no duró ni dos meses.</w:t>
      </w:r>
    </w:p>
    <w:p>
      <w:pPr>
        <w:spacing w:after="140" w:line="290"/>
        <w:ind w:left="500" w:right="400"/>
        <w:jc w:val="both"/>
      </w:pPr>
      <w:r>
        <w:rPr>
          <w:rFonts w:ascii="Arial" w:cs="Arial" w:eastAsia="Arial" w:hAnsi="Arial"/>
          <w:i/>
          <w:iCs/>
          <w:color w:val="333333"/>
          <w:sz w:val="20"/>
          <w:szCs w:val="20"/>
        </w:rPr>
        <w:t xml:space="preserve">Convocatoria estatal de contratación de personal responsable, publicada el 3 de marzo: Requisitos. Bachillerato concluido. Certificación en cuidado infantil expedida por la instancia estatal. Disponibilidad de horario. No se establece requisito ni criterio de preferencia relacionado con el dominio de lenguas indígenas.</w:t>
      </w:r>
    </w:p>
    <w:p>
      <w:pPr>
        <w:pStyle w:val="Heading2"/>
        <w:spacing w:after="110" w:before="280"/>
      </w:pPr>
      <w:r>
        <w:rPr>
          <w:rFonts w:ascii="Arial" w:cs="Arial" w:eastAsia="Arial" w:hAnsi="Arial"/>
          <w:b/>
          <w:bCs/>
          <w:color w:val="2E5496"/>
          <w:sz w:val="24"/>
          <w:szCs w:val="24"/>
        </w:rPr>
        <w:t xml:space="preserve">Instrucciones para el equipo</w:t>
      </w:r>
    </w:p>
    <w:p>
      <w:pPr>
        <w:spacing w:after="130" w:line="290"/>
        <w:jc w:val="both"/>
      </w:pPr>
      <w:r>
        <w:rPr>
          <w:rFonts w:ascii="Arial" w:cs="Arial" w:eastAsia="Arial" w:hAnsi="Arial"/>
          <w:b w:val="false"/>
          <w:bCs w:val="false"/>
          <w:i w:val="false"/>
          <w:iCs w:val="false"/>
          <w:sz w:val="21"/>
          <w:szCs w:val="21"/>
        </w:rPr>
        <w:t xml:space="preserve">Primero, identifique los patrones que aparecen en el expediente usando las técnicas de la Sesión 4. Segundo, construya la matriz de evidencia con al menos doce afirmaciones trazadas, usando la plantilla del archivo de Excel. Tercero, redacte una síntesis cualitativa de máximo dos cuartillas que responda la pregunta de evaluación asignada.</w:t>
      </w:r>
    </w:p>
    <w:p>
      <w:pPr>
        <w:spacing w:after="130" w:line="290"/>
        <w:jc w:val="both"/>
      </w:pPr>
      <w:r>
        <w:rPr>
          <w:rFonts w:ascii="Arial" w:cs="Arial" w:eastAsia="Arial" w:hAnsi="Arial"/>
          <w:b/>
          <w:bCs/>
          <w:i w:val="false"/>
          <w:iCs w:val="false"/>
          <w:sz w:val="21"/>
          <w:szCs w:val="21"/>
        </w:rPr>
        <w:t xml:space="preserve">La regla dura del laboratorio es que ninguna frase de la síntesis puede afirmar algo que no esté en la matriz. Si una afirmación le parece evidente pero no la puede trazar a un documento del expediente o al marco normativo común, no entra a la síntesis, o entra declarada como hipótesis con nivel de confianza bajo.</w:t>
      </w:r>
    </w:p>
    <w:p>
      <w:pPr>
        <w:spacing w:after="130" w:line="290"/>
        <w:jc w:val="both"/>
      </w:pPr>
      <w:r>
        <w:rPr>
          <w:rFonts w:ascii="Arial" w:cs="Arial" w:eastAsia="Arial" w:hAnsi="Arial"/>
          <w:b w:val="false"/>
          <w:bCs w:val="false"/>
          <w:i w:val="false"/>
          <w:iCs w:val="false"/>
          <w:sz w:val="21"/>
          <w:szCs w:val="21"/>
        </w:rPr>
        <w:t xml:space="preserve">Tenga presente que el marco normativo forma parte del expediente. Varias de las afirmaciones más sólidas que puede construir salen de contrastar lo que reportan los documentos contra lo que establecen las Reglas de Operación.</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Expedientes de caso. Laboratorio Práctico 2. Material sintético de capacitación.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2026-09-11T00:29:39.099Z</dcterms:created>
  <dcterms:modified xsi:type="dcterms:W3CDTF">2026-09-11T00:29:39.099Z</dcterms:modified>
</cp:coreProperties>
</file>

<file path=docProps/custom.xml><?xml version="1.0" encoding="utf-8"?>
<Properties xmlns="http://schemas.openxmlformats.org/officeDocument/2006/custom-properties" xmlns:vt="http://schemas.openxmlformats.org/officeDocument/2006/docPropsVTypes"/>
</file>