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D61" w:rsidRPr="00E73D61" w:rsidRDefault="00E73D61" w:rsidP="00E73D61">
      <w:pPr>
        <w:jc w:val="center"/>
        <w:rPr>
          <w:rFonts w:asciiTheme="minorBidi" w:eastAsia="Times New Roman" w:hAnsiTheme="minorBidi"/>
          <w:b/>
          <w:bCs/>
          <w:color w:val="000000"/>
          <w:sz w:val="28"/>
          <w:szCs w:val="28"/>
          <w:u w:val="single"/>
          <w:rtl/>
        </w:rPr>
      </w:pPr>
      <w:r w:rsidRPr="00E73D61">
        <w:rPr>
          <w:rFonts w:asciiTheme="minorBidi" w:eastAsia="Times New Roman" w:hAnsiTheme="minorBidi" w:cs="PT Bold Heading"/>
          <w:b/>
          <w:bCs/>
          <w:color w:val="000000"/>
          <w:sz w:val="28"/>
          <w:szCs w:val="28"/>
          <w:u w:val="single"/>
          <w:rtl/>
        </w:rPr>
        <w:t>شركة أعمال النقل</w:t>
      </w:r>
    </w:p>
    <w:p w:rsidR="009C1C6A" w:rsidRDefault="00E73D61" w:rsidP="006E3673">
      <w:pPr>
        <w:pStyle w:val="ListParagraph"/>
        <w:numPr>
          <w:ilvl w:val="0"/>
          <w:numId w:val="1"/>
        </w:numPr>
        <w:ind w:left="360"/>
        <w:jc w:val="lowKashida"/>
        <w:rPr>
          <w:rFonts w:hint="cs"/>
          <w:rtl/>
        </w:rPr>
      </w:pPr>
      <w:r w:rsidRPr="006E3673">
        <w:rPr>
          <w:rFonts w:asciiTheme="minorBidi" w:eastAsia="Times New Roman" w:hAnsiTheme="minorBidi"/>
          <w:b/>
          <w:bCs/>
          <w:color w:val="000000"/>
          <w:sz w:val="28"/>
          <w:szCs w:val="28"/>
          <w:rtl/>
        </w:rPr>
        <w:t xml:space="preserve"> شركة  مساهمة مصرية خاضعة لأحكام القانون رقم 159 لسنة 1981 ولائحته التنفيذية – ومقيدة بالسجل التجاري برقم</w:t>
      </w:r>
      <w:r w:rsidRPr="006E3673">
        <w:rPr>
          <w:rFonts w:asciiTheme="minorBidi" w:eastAsia="Times New Roman" w:hAnsiTheme="minorBidi" w:hint="cs"/>
          <w:b/>
          <w:bCs/>
          <w:color w:val="000000"/>
          <w:sz w:val="28"/>
          <w:szCs w:val="28"/>
          <w:rtl/>
        </w:rPr>
        <w:t xml:space="preserve"> (</w:t>
      </w:r>
      <w:r w:rsidRPr="006E3673">
        <w:rPr>
          <w:rFonts w:asciiTheme="minorBidi" w:eastAsia="Times New Roman" w:hAnsiTheme="minorBidi"/>
          <w:b/>
          <w:bCs/>
          <w:color w:val="000000"/>
          <w:sz w:val="28"/>
          <w:szCs w:val="28"/>
          <w:rtl/>
        </w:rPr>
        <w:t xml:space="preserve">218956 – القاهرة </w:t>
      </w:r>
      <w:r w:rsidRPr="006E3673">
        <w:rPr>
          <w:rFonts w:asciiTheme="minorBidi" w:eastAsia="Times New Roman" w:hAnsiTheme="minorBidi" w:hint="cs"/>
          <w:b/>
          <w:bCs/>
          <w:color w:val="000000"/>
          <w:sz w:val="28"/>
          <w:szCs w:val="28"/>
          <w:rtl/>
        </w:rPr>
        <w:t xml:space="preserve">) </w:t>
      </w:r>
      <w:r w:rsidRPr="006E3673">
        <w:rPr>
          <w:rFonts w:asciiTheme="minorBidi" w:eastAsia="Times New Roman" w:hAnsiTheme="minorBidi"/>
          <w:b/>
          <w:bCs/>
          <w:color w:val="000000"/>
          <w:sz w:val="28"/>
          <w:szCs w:val="28"/>
          <w:rtl/>
        </w:rPr>
        <w:t>ومقرها</w:t>
      </w:r>
      <w:r w:rsidRPr="006E3673">
        <w:rPr>
          <w:rFonts w:asciiTheme="minorBidi" w:eastAsia="Times New Roman" w:hAnsiTheme="minorBidi" w:hint="cs"/>
          <w:b/>
          <w:bCs/>
          <w:color w:val="000000"/>
          <w:sz w:val="28"/>
          <w:szCs w:val="28"/>
          <w:rtl/>
        </w:rPr>
        <w:t xml:space="preserve"> شارع على غيته متفرع من شارع مركز تدريب المدربين</w:t>
      </w:r>
      <w:r w:rsidRPr="006E3673">
        <w:rPr>
          <w:rFonts w:asciiTheme="minorBidi" w:eastAsia="Times New Roman" w:hAnsiTheme="minorBidi"/>
          <w:b/>
          <w:bCs/>
          <w:color w:val="000000"/>
          <w:sz w:val="28"/>
          <w:szCs w:val="28"/>
          <w:rtl/>
        </w:rPr>
        <w:t>–</w:t>
      </w:r>
      <w:r w:rsidRPr="006E3673">
        <w:rPr>
          <w:rFonts w:asciiTheme="minorBidi" w:eastAsia="Times New Roman" w:hAnsiTheme="minorBidi" w:hint="cs"/>
          <w:b/>
          <w:bCs/>
          <w:color w:val="000000"/>
          <w:sz w:val="28"/>
          <w:szCs w:val="28"/>
          <w:rtl/>
        </w:rPr>
        <w:t xml:space="preserve"> </w:t>
      </w:r>
      <w:proofErr w:type="spellStart"/>
      <w:r w:rsidRPr="006E3673">
        <w:rPr>
          <w:rFonts w:asciiTheme="minorBidi" w:eastAsia="Times New Roman" w:hAnsiTheme="minorBidi" w:hint="cs"/>
          <w:b/>
          <w:bCs/>
          <w:color w:val="000000"/>
          <w:sz w:val="28"/>
          <w:szCs w:val="28"/>
          <w:rtl/>
        </w:rPr>
        <w:t>امام</w:t>
      </w:r>
      <w:proofErr w:type="spellEnd"/>
      <w:r w:rsidRPr="006E3673">
        <w:rPr>
          <w:rFonts w:asciiTheme="minorBidi" w:eastAsia="Times New Roman" w:hAnsiTheme="minorBidi" w:hint="cs"/>
          <w:b/>
          <w:bCs/>
          <w:color w:val="000000"/>
          <w:sz w:val="28"/>
          <w:szCs w:val="28"/>
          <w:rtl/>
        </w:rPr>
        <w:t xml:space="preserve"> الهيئة العامة للمواصفات والجودة - </w:t>
      </w:r>
      <w:proofErr w:type="spellStart"/>
      <w:r w:rsidRPr="006E3673">
        <w:rPr>
          <w:rFonts w:asciiTheme="minorBidi" w:eastAsia="Times New Roman" w:hAnsiTheme="minorBidi" w:hint="cs"/>
          <w:b/>
          <w:bCs/>
          <w:color w:val="000000"/>
          <w:sz w:val="28"/>
          <w:szCs w:val="28"/>
          <w:rtl/>
        </w:rPr>
        <w:t>الاميرية</w:t>
      </w:r>
      <w:proofErr w:type="spellEnd"/>
      <w:r w:rsidRPr="006E3673">
        <w:rPr>
          <w:rFonts w:asciiTheme="minorBidi" w:eastAsia="Times New Roman" w:hAnsiTheme="minorBidi" w:hint="cs"/>
          <w:b/>
          <w:bCs/>
          <w:color w:val="000000"/>
          <w:sz w:val="28"/>
          <w:szCs w:val="28"/>
          <w:rtl/>
        </w:rPr>
        <w:t xml:space="preserve"> بالقاهرة</w:t>
      </w:r>
      <w:r>
        <w:rPr>
          <w:rFonts w:hint="cs"/>
          <w:rtl/>
        </w:rPr>
        <w:t xml:space="preserve"> .</w:t>
      </w:r>
    </w:p>
    <w:p w:rsidR="006E3673" w:rsidRPr="006E3673" w:rsidRDefault="00E73D61" w:rsidP="006E3673">
      <w:pPr>
        <w:pStyle w:val="ListParagraph"/>
        <w:numPr>
          <w:ilvl w:val="0"/>
          <w:numId w:val="1"/>
        </w:numPr>
        <w:ind w:left="360"/>
        <w:jc w:val="lowKashida"/>
        <w:rPr>
          <w:rFonts w:asciiTheme="minorBidi" w:eastAsia="Times New Roman" w:hAnsiTheme="minorBidi"/>
          <w:b/>
          <w:bCs/>
          <w:color w:val="000000"/>
          <w:sz w:val="28"/>
          <w:szCs w:val="28"/>
          <w:rtl/>
        </w:rPr>
      </w:pPr>
      <w:r w:rsidRPr="006E3673">
        <w:rPr>
          <w:rFonts w:asciiTheme="minorBidi" w:eastAsia="Times New Roman" w:hAnsiTheme="minorBidi" w:hint="cs"/>
          <w:b/>
          <w:bCs/>
          <w:color w:val="000000"/>
          <w:sz w:val="28"/>
          <w:szCs w:val="28"/>
          <w:rtl/>
        </w:rPr>
        <w:t>رأس المال المرخص :</w:t>
      </w:r>
      <w:r w:rsidR="006E3673" w:rsidRPr="006E3673">
        <w:rPr>
          <w:rFonts w:asciiTheme="minorBidi" w:eastAsia="Times New Roman" w:hAnsiTheme="minorBidi" w:hint="cs"/>
          <w:b/>
          <w:bCs/>
          <w:color w:val="000000"/>
          <w:sz w:val="28"/>
          <w:szCs w:val="28"/>
          <w:rtl/>
        </w:rPr>
        <w:t xml:space="preserve"> </w:t>
      </w:r>
      <w:r w:rsidRPr="006E3673">
        <w:rPr>
          <w:rFonts w:asciiTheme="minorBidi" w:eastAsia="Times New Roman" w:hAnsiTheme="minorBidi" w:hint="cs"/>
          <w:b/>
          <w:bCs/>
          <w:color w:val="000000"/>
          <w:sz w:val="28"/>
          <w:szCs w:val="28"/>
          <w:rtl/>
        </w:rPr>
        <w:t xml:space="preserve">بمبلغ 300 مليون جنيه  ( ثلاثمائة مليون جنيه ) </w:t>
      </w:r>
    </w:p>
    <w:p w:rsidR="00E73D61" w:rsidRDefault="00E73D61" w:rsidP="006E3673">
      <w:pPr>
        <w:pStyle w:val="ListParagraph"/>
        <w:numPr>
          <w:ilvl w:val="0"/>
          <w:numId w:val="1"/>
        </w:numPr>
        <w:ind w:left="360"/>
        <w:jc w:val="lowKashida"/>
        <w:rPr>
          <w:rFonts w:asciiTheme="minorBidi" w:eastAsia="Times New Roman" w:hAnsiTheme="minorBidi"/>
          <w:b/>
          <w:bCs/>
          <w:color w:val="000000"/>
          <w:sz w:val="28"/>
          <w:szCs w:val="28"/>
        </w:rPr>
      </w:pPr>
      <w:r w:rsidRPr="006E3673">
        <w:rPr>
          <w:rFonts w:asciiTheme="minorBidi" w:eastAsia="Times New Roman" w:hAnsiTheme="minorBidi" w:hint="cs"/>
          <w:b/>
          <w:bCs/>
          <w:color w:val="000000"/>
          <w:sz w:val="28"/>
          <w:szCs w:val="28"/>
          <w:rtl/>
        </w:rPr>
        <w:t xml:space="preserve">رأس المال المصدر </w:t>
      </w:r>
      <w:r w:rsidR="006E3673" w:rsidRPr="006E3673">
        <w:rPr>
          <w:rFonts w:asciiTheme="minorBidi" w:eastAsia="Times New Roman" w:hAnsiTheme="minorBidi" w:hint="cs"/>
          <w:b/>
          <w:bCs/>
          <w:color w:val="000000"/>
          <w:sz w:val="28"/>
          <w:szCs w:val="28"/>
          <w:rtl/>
        </w:rPr>
        <w:t xml:space="preserve"> : </w:t>
      </w:r>
      <w:r w:rsidRPr="006E3673">
        <w:rPr>
          <w:rFonts w:asciiTheme="minorBidi" w:eastAsia="Times New Roman" w:hAnsiTheme="minorBidi" w:hint="cs"/>
          <w:b/>
          <w:bCs/>
          <w:color w:val="000000"/>
          <w:sz w:val="28"/>
          <w:szCs w:val="28"/>
          <w:rtl/>
        </w:rPr>
        <w:t xml:space="preserve">بمبلغ </w:t>
      </w:r>
      <w:r w:rsidRPr="006E3673">
        <w:rPr>
          <w:rFonts w:asciiTheme="minorBidi" w:eastAsia="Times New Roman" w:hAnsiTheme="minorBidi"/>
          <w:b/>
          <w:bCs/>
          <w:color w:val="000000"/>
          <w:sz w:val="28"/>
          <w:szCs w:val="28"/>
          <w:rtl/>
        </w:rPr>
        <w:t>264981800</w:t>
      </w:r>
      <w:r w:rsidRPr="006E3673">
        <w:rPr>
          <w:rFonts w:asciiTheme="minorBidi" w:eastAsia="Times New Roman" w:hAnsiTheme="minorBidi" w:hint="cs"/>
          <w:b/>
          <w:bCs/>
          <w:color w:val="000000"/>
          <w:sz w:val="28"/>
          <w:szCs w:val="28"/>
          <w:rtl/>
        </w:rPr>
        <w:t xml:space="preserve"> جنيه ( فقط وقدرة مائتان وأربعة وستون مليونا وتسعمائة وواحد وثمانون الف وثمانمائة جنيها لا غير )</w:t>
      </w:r>
    </w:p>
    <w:p w:rsidR="002F25A2" w:rsidRPr="001E6881" w:rsidRDefault="002F25A2" w:rsidP="006E3673">
      <w:pPr>
        <w:pStyle w:val="ListParagraph"/>
        <w:numPr>
          <w:ilvl w:val="0"/>
          <w:numId w:val="1"/>
        </w:numPr>
        <w:ind w:left="360"/>
        <w:jc w:val="lowKashida"/>
        <w:rPr>
          <w:rFonts w:asciiTheme="minorBidi" w:eastAsia="Times New Roman" w:hAnsiTheme="minorBidi" w:hint="cs"/>
          <w:b/>
          <w:bCs/>
          <w:color w:val="000000"/>
          <w:sz w:val="28"/>
          <w:szCs w:val="28"/>
          <w:u w:val="single"/>
        </w:rPr>
      </w:pPr>
      <w:r w:rsidRPr="001E6881">
        <w:rPr>
          <w:rFonts w:asciiTheme="minorBidi" w:eastAsia="Times New Roman" w:hAnsiTheme="minorBidi" w:hint="cs"/>
          <w:b/>
          <w:bCs/>
          <w:color w:val="000000"/>
          <w:sz w:val="28"/>
          <w:szCs w:val="28"/>
          <w:u w:val="single"/>
          <w:rtl/>
        </w:rPr>
        <w:t xml:space="preserve">المساهمين : </w:t>
      </w:r>
    </w:p>
    <w:p w:rsidR="002F25A2" w:rsidRPr="00FE50F0" w:rsidRDefault="002F25A2" w:rsidP="002F25A2">
      <w:pPr>
        <w:pStyle w:val="ListParagraph"/>
        <w:ind w:left="360"/>
        <w:jc w:val="lowKashida"/>
        <w:rPr>
          <w:rFonts w:asciiTheme="minorBidi" w:eastAsia="Times New Roman" w:hAnsiTheme="minorBidi"/>
          <w:b/>
          <w:bCs/>
          <w:color w:val="000000"/>
          <w:sz w:val="12"/>
          <w:szCs w:val="12"/>
          <w:rtl/>
        </w:rPr>
      </w:pPr>
    </w:p>
    <w:tbl>
      <w:tblPr>
        <w:tblStyle w:val="TableGrid"/>
        <w:bidiVisual/>
        <w:tblW w:w="5000" w:type="pct"/>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442"/>
        <w:gridCol w:w="2753"/>
        <w:gridCol w:w="1065"/>
        <w:gridCol w:w="2109"/>
        <w:gridCol w:w="2263"/>
        <w:gridCol w:w="2064"/>
      </w:tblGrid>
      <w:tr w:rsidR="001E6881" w:rsidRPr="001E6881" w:rsidTr="001E6881">
        <w:trPr>
          <w:trHeight w:val="20"/>
        </w:trPr>
        <w:tc>
          <w:tcPr>
            <w:tcW w:w="20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م</w:t>
            </w:r>
          </w:p>
        </w:tc>
        <w:tc>
          <w:tcPr>
            <w:tcW w:w="1287"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الاسم</w:t>
            </w:r>
          </w:p>
        </w:tc>
        <w:tc>
          <w:tcPr>
            <w:tcW w:w="49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الجنسية</w:t>
            </w:r>
          </w:p>
        </w:tc>
        <w:tc>
          <w:tcPr>
            <w:tcW w:w="98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عدد الأسهم</w:t>
            </w:r>
          </w:p>
        </w:tc>
        <w:tc>
          <w:tcPr>
            <w:tcW w:w="105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 xml:space="preserve">القيمة الاسمية </w:t>
            </w:r>
          </w:p>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بالجنيه المصرى</w:t>
            </w:r>
          </w:p>
        </w:tc>
        <w:tc>
          <w:tcPr>
            <w:tcW w:w="965"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نسبة المشاركة %</w:t>
            </w:r>
          </w:p>
        </w:tc>
      </w:tr>
      <w:tr w:rsidR="001E6881" w:rsidRPr="001E6881" w:rsidTr="001E6881">
        <w:trPr>
          <w:trHeight w:val="20"/>
        </w:trPr>
        <w:tc>
          <w:tcPr>
            <w:tcW w:w="20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1</w:t>
            </w:r>
          </w:p>
        </w:tc>
        <w:tc>
          <w:tcPr>
            <w:tcW w:w="1287"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الشركة القابضة للنقل البحرى والبرى</w:t>
            </w:r>
          </w:p>
        </w:tc>
        <w:tc>
          <w:tcPr>
            <w:tcW w:w="49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مصرى</w:t>
            </w:r>
          </w:p>
        </w:tc>
        <w:tc>
          <w:tcPr>
            <w:tcW w:w="98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hint="cs"/>
                <w:b/>
                <w:bCs/>
                <w:color w:val="000000"/>
                <w:sz w:val="26"/>
                <w:szCs w:val="26"/>
                <w:rtl/>
              </w:rPr>
              <w:t>52985493</w:t>
            </w:r>
          </w:p>
        </w:tc>
        <w:tc>
          <w:tcPr>
            <w:tcW w:w="105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b/>
                <w:bCs/>
                <w:color w:val="000000"/>
                <w:sz w:val="26"/>
                <w:szCs w:val="26"/>
              </w:rPr>
              <w:t>264927465</w:t>
            </w:r>
          </w:p>
        </w:tc>
        <w:tc>
          <w:tcPr>
            <w:tcW w:w="965"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b/>
                <w:bCs/>
                <w:color w:val="000000"/>
                <w:sz w:val="26"/>
                <w:szCs w:val="26"/>
                <w:rtl/>
              </w:rPr>
              <w:t>99.97949%</w:t>
            </w:r>
          </w:p>
        </w:tc>
      </w:tr>
      <w:tr w:rsidR="001E6881" w:rsidRPr="001E6881" w:rsidTr="001E6881">
        <w:trPr>
          <w:trHeight w:val="20"/>
        </w:trPr>
        <w:tc>
          <w:tcPr>
            <w:tcW w:w="20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2</w:t>
            </w:r>
          </w:p>
        </w:tc>
        <w:tc>
          <w:tcPr>
            <w:tcW w:w="1287"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محمد شبل عبد الرحمن</w:t>
            </w:r>
          </w:p>
        </w:tc>
        <w:tc>
          <w:tcPr>
            <w:tcW w:w="49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مصرى</w:t>
            </w:r>
          </w:p>
        </w:tc>
        <w:tc>
          <w:tcPr>
            <w:tcW w:w="98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7572</w:t>
            </w:r>
          </w:p>
        </w:tc>
        <w:tc>
          <w:tcPr>
            <w:tcW w:w="105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b/>
                <w:bCs/>
                <w:color w:val="000000"/>
                <w:sz w:val="26"/>
                <w:szCs w:val="26"/>
              </w:rPr>
              <w:t>37860</w:t>
            </w:r>
          </w:p>
        </w:tc>
        <w:tc>
          <w:tcPr>
            <w:tcW w:w="965"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b/>
                <w:bCs/>
                <w:color w:val="000000"/>
                <w:sz w:val="26"/>
                <w:szCs w:val="26"/>
                <w:rtl/>
              </w:rPr>
              <w:t>0.0142</w:t>
            </w:r>
            <w:r w:rsidRPr="001E6881">
              <w:rPr>
                <w:rFonts w:asciiTheme="majorBidi" w:eastAsia="Times New Roman" w:hAnsiTheme="majorBidi" w:cs="Times New Roman" w:hint="cs"/>
                <w:b/>
                <w:bCs/>
                <w:color w:val="000000"/>
                <w:sz w:val="26"/>
                <w:szCs w:val="26"/>
                <w:rtl/>
              </w:rPr>
              <w:t>9</w:t>
            </w:r>
            <w:r w:rsidRPr="001E6881">
              <w:rPr>
                <w:rFonts w:asciiTheme="majorBidi" w:eastAsia="Times New Roman" w:hAnsiTheme="majorBidi" w:cs="Times New Roman"/>
                <w:b/>
                <w:bCs/>
                <w:color w:val="000000"/>
                <w:sz w:val="26"/>
                <w:szCs w:val="26"/>
                <w:rtl/>
              </w:rPr>
              <w:t>%</w:t>
            </w:r>
          </w:p>
        </w:tc>
      </w:tr>
      <w:tr w:rsidR="001E6881" w:rsidRPr="001E6881" w:rsidTr="001E6881">
        <w:trPr>
          <w:trHeight w:val="20"/>
        </w:trPr>
        <w:tc>
          <w:tcPr>
            <w:tcW w:w="20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6</w:t>
            </w:r>
          </w:p>
        </w:tc>
        <w:tc>
          <w:tcPr>
            <w:tcW w:w="1287"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شركة المستودعات المصرية العامة</w:t>
            </w:r>
          </w:p>
        </w:tc>
        <w:tc>
          <w:tcPr>
            <w:tcW w:w="49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مصرى</w:t>
            </w:r>
          </w:p>
        </w:tc>
        <w:tc>
          <w:tcPr>
            <w:tcW w:w="986" w:type="pct"/>
            <w:vAlign w:val="center"/>
          </w:tcPr>
          <w:p w:rsidR="001E6881" w:rsidRPr="001E6881" w:rsidRDefault="001E6881" w:rsidP="001E6881">
            <w:pPr>
              <w:spacing w:line="276" w:lineRule="auto"/>
              <w:jc w:val="center"/>
              <w:rPr>
                <w:rFonts w:ascii="Arial" w:hAnsi="Arial" w:cs="Arial"/>
                <w:b/>
                <w:bCs/>
                <w:color w:val="000000"/>
                <w:sz w:val="26"/>
                <w:szCs w:val="26"/>
                <w:rtl/>
              </w:rPr>
            </w:pPr>
            <w:r w:rsidRPr="001E6881">
              <w:rPr>
                <w:rFonts w:ascii="Arial" w:hAnsi="Arial" w:cs="Arial" w:hint="cs"/>
                <w:b/>
                <w:bCs/>
                <w:color w:val="000000"/>
                <w:sz w:val="26"/>
                <w:szCs w:val="26"/>
                <w:rtl/>
              </w:rPr>
              <w:t>65</w:t>
            </w:r>
          </w:p>
        </w:tc>
        <w:tc>
          <w:tcPr>
            <w:tcW w:w="105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hint="cs"/>
                <w:b/>
                <w:bCs/>
                <w:color w:val="000000"/>
                <w:sz w:val="26"/>
                <w:szCs w:val="26"/>
                <w:rtl/>
              </w:rPr>
              <w:t>325</w:t>
            </w:r>
          </w:p>
        </w:tc>
        <w:tc>
          <w:tcPr>
            <w:tcW w:w="965" w:type="pct"/>
            <w:vAlign w:val="center"/>
          </w:tcPr>
          <w:p w:rsidR="001E6881" w:rsidRPr="001E6881" w:rsidRDefault="001E6881" w:rsidP="001E6881">
            <w:pPr>
              <w:spacing w:line="276" w:lineRule="auto"/>
              <w:jc w:val="center"/>
              <w:rPr>
                <w:rFonts w:ascii="Arial" w:hAnsi="Arial" w:cs="Arial"/>
                <w:b/>
                <w:bCs/>
                <w:color w:val="000000"/>
                <w:sz w:val="26"/>
                <w:szCs w:val="26"/>
                <w:rtl/>
              </w:rPr>
            </w:pPr>
            <w:r w:rsidRPr="001E6881">
              <w:rPr>
                <w:rFonts w:ascii="Arial" w:hAnsi="Arial" w:cs="Arial"/>
                <w:b/>
                <w:bCs/>
                <w:color w:val="000000"/>
                <w:sz w:val="26"/>
                <w:szCs w:val="26"/>
                <w:rtl/>
              </w:rPr>
              <w:t>0.00012%</w:t>
            </w:r>
          </w:p>
        </w:tc>
      </w:tr>
      <w:tr w:rsidR="001E6881" w:rsidRPr="001E6881" w:rsidTr="001E6881">
        <w:trPr>
          <w:trHeight w:val="20"/>
        </w:trPr>
        <w:tc>
          <w:tcPr>
            <w:tcW w:w="20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3</w:t>
            </w:r>
          </w:p>
        </w:tc>
        <w:tc>
          <w:tcPr>
            <w:tcW w:w="1287"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نبيلة عبد المنعم بسيونى</w:t>
            </w:r>
          </w:p>
        </w:tc>
        <w:tc>
          <w:tcPr>
            <w:tcW w:w="49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مصرى</w:t>
            </w:r>
          </w:p>
        </w:tc>
        <w:tc>
          <w:tcPr>
            <w:tcW w:w="98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149</w:t>
            </w:r>
          </w:p>
        </w:tc>
        <w:tc>
          <w:tcPr>
            <w:tcW w:w="105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hint="cs"/>
                <w:b/>
                <w:bCs/>
                <w:color w:val="000000"/>
                <w:sz w:val="26"/>
                <w:szCs w:val="26"/>
                <w:rtl/>
              </w:rPr>
              <w:t>745</w:t>
            </w:r>
          </w:p>
        </w:tc>
        <w:tc>
          <w:tcPr>
            <w:tcW w:w="965"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b/>
                <w:bCs/>
                <w:color w:val="000000"/>
                <w:sz w:val="26"/>
                <w:szCs w:val="26"/>
                <w:rtl/>
              </w:rPr>
              <w:t>0.00028%</w:t>
            </w:r>
          </w:p>
        </w:tc>
      </w:tr>
      <w:tr w:rsidR="001E6881" w:rsidRPr="001E6881" w:rsidTr="001E6881">
        <w:trPr>
          <w:trHeight w:val="20"/>
        </w:trPr>
        <w:tc>
          <w:tcPr>
            <w:tcW w:w="20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4</w:t>
            </w:r>
          </w:p>
        </w:tc>
        <w:tc>
          <w:tcPr>
            <w:tcW w:w="1287"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 xml:space="preserve">السعيد عبد الحميد محمد </w:t>
            </w:r>
            <w:proofErr w:type="spellStart"/>
            <w:r w:rsidRPr="001E6881">
              <w:rPr>
                <w:rFonts w:asciiTheme="majorBidi" w:eastAsia="Times New Roman" w:hAnsiTheme="majorBidi" w:cstheme="majorBidi" w:hint="cs"/>
                <w:b/>
                <w:bCs/>
                <w:color w:val="000000"/>
                <w:sz w:val="26"/>
                <w:szCs w:val="26"/>
                <w:rtl/>
              </w:rPr>
              <w:t>قورة</w:t>
            </w:r>
            <w:proofErr w:type="spellEnd"/>
          </w:p>
        </w:tc>
        <w:tc>
          <w:tcPr>
            <w:tcW w:w="49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مصرى</w:t>
            </w:r>
          </w:p>
        </w:tc>
        <w:tc>
          <w:tcPr>
            <w:tcW w:w="986" w:type="pct"/>
            <w:vAlign w:val="center"/>
          </w:tcPr>
          <w:p w:rsidR="001E6881" w:rsidRPr="001E6881" w:rsidRDefault="001E6881" w:rsidP="001E6881">
            <w:pPr>
              <w:spacing w:line="276" w:lineRule="auto"/>
              <w:jc w:val="center"/>
              <w:rPr>
                <w:rFonts w:ascii="Arial" w:hAnsi="Arial" w:cs="Arial"/>
                <w:b/>
                <w:bCs/>
                <w:color w:val="000000"/>
                <w:sz w:val="26"/>
                <w:szCs w:val="26"/>
                <w:rtl/>
              </w:rPr>
            </w:pPr>
            <w:r w:rsidRPr="001E6881">
              <w:rPr>
                <w:rFonts w:ascii="Arial" w:hAnsi="Arial" w:cs="Arial" w:hint="cs"/>
                <w:b/>
                <w:bCs/>
                <w:color w:val="000000"/>
                <w:sz w:val="26"/>
                <w:szCs w:val="26"/>
                <w:rtl/>
              </w:rPr>
              <w:t>1349</w:t>
            </w:r>
          </w:p>
        </w:tc>
        <w:tc>
          <w:tcPr>
            <w:tcW w:w="105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hint="cs"/>
                <w:b/>
                <w:bCs/>
                <w:color w:val="000000"/>
                <w:sz w:val="26"/>
                <w:szCs w:val="26"/>
                <w:rtl/>
              </w:rPr>
              <w:t>6745</w:t>
            </w:r>
          </w:p>
        </w:tc>
        <w:tc>
          <w:tcPr>
            <w:tcW w:w="965" w:type="pct"/>
            <w:vAlign w:val="center"/>
          </w:tcPr>
          <w:p w:rsidR="001E6881" w:rsidRPr="001E6881" w:rsidRDefault="001E6881" w:rsidP="001E6881">
            <w:pPr>
              <w:spacing w:line="276" w:lineRule="auto"/>
              <w:jc w:val="center"/>
              <w:rPr>
                <w:rFonts w:ascii="Arial" w:hAnsi="Arial" w:cs="Arial"/>
                <w:b/>
                <w:bCs/>
                <w:color w:val="000000"/>
                <w:sz w:val="26"/>
                <w:szCs w:val="26"/>
                <w:rtl/>
              </w:rPr>
            </w:pPr>
            <w:r w:rsidRPr="001E6881">
              <w:rPr>
                <w:rFonts w:ascii="Arial" w:hAnsi="Arial" w:cs="Arial"/>
                <w:b/>
                <w:bCs/>
                <w:color w:val="000000"/>
                <w:sz w:val="26"/>
                <w:szCs w:val="26"/>
                <w:rtl/>
              </w:rPr>
              <w:t>0.0025</w:t>
            </w:r>
            <w:r w:rsidRPr="001E6881">
              <w:rPr>
                <w:rFonts w:ascii="Arial" w:hAnsi="Arial" w:cs="Arial" w:hint="cs"/>
                <w:b/>
                <w:bCs/>
                <w:color w:val="000000"/>
                <w:sz w:val="26"/>
                <w:szCs w:val="26"/>
                <w:rtl/>
              </w:rPr>
              <w:t>5</w:t>
            </w:r>
            <w:r w:rsidRPr="001E6881">
              <w:rPr>
                <w:rFonts w:ascii="Arial" w:hAnsi="Arial" w:cs="Arial"/>
                <w:b/>
                <w:bCs/>
                <w:color w:val="000000"/>
                <w:sz w:val="26"/>
                <w:szCs w:val="26"/>
                <w:rtl/>
              </w:rPr>
              <w:t>%</w:t>
            </w:r>
          </w:p>
        </w:tc>
      </w:tr>
      <w:tr w:rsidR="001E6881" w:rsidRPr="001E6881" w:rsidTr="001E6881">
        <w:trPr>
          <w:trHeight w:val="20"/>
        </w:trPr>
        <w:tc>
          <w:tcPr>
            <w:tcW w:w="20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5</w:t>
            </w:r>
          </w:p>
        </w:tc>
        <w:tc>
          <w:tcPr>
            <w:tcW w:w="1287"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هادى إبراهيم وصال</w:t>
            </w:r>
          </w:p>
        </w:tc>
        <w:tc>
          <w:tcPr>
            <w:tcW w:w="49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مصرى</w:t>
            </w:r>
          </w:p>
        </w:tc>
        <w:tc>
          <w:tcPr>
            <w:tcW w:w="98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hint="cs"/>
                <w:b/>
                <w:bCs/>
                <w:color w:val="000000"/>
                <w:sz w:val="26"/>
                <w:szCs w:val="26"/>
                <w:rtl/>
              </w:rPr>
              <w:t>1732</w:t>
            </w:r>
          </w:p>
        </w:tc>
        <w:tc>
          <w:tcPr>
            <w:tcW w:w="1058"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imes New Roman" w:hint="cs"/>
                <w:b/>
                <w:bCs/>
                <w:color w:val="000000"/>
                <w:sz w:val="26"/>
                <w:szCs w:val="26"/>
                <w:rtl/>
              </w:rPr>
              <w:t>8660</w:t>
            </w:r>
          </w:p>
        </w:tc>
        <w:tc>
          <w:tcPr>
            <w:tcW w:w="965" w:type="pct"/>
            <w:vAlign w:val="center"/>
          </w:tcPr>
          <w:p w:rsidR="001E6881" w:rsidRPr="001E6881" w:rsidRDefault="001E6881" w:rsidP="001E6881">
            <w:pPr>
              <w:spacing w:line="276" w:lineRule="auto"/>
              <w:jc w:val="center"/>
              <w:rPr>
                <w:rFonts w:ascii="Arial" w:hAnsi="Arial" w:cs="Arial"/>
                <w:b/>
                <w:bCs/>
                <w:color w:val="000000"/>
                <w:sz w:val="26"/>
                <w:szCs w:val="26"/>
                <w:rtl/>
              </w:rPr>
            </w:pPr>
            <w:r w:rsidRPr="001E6881">
              <w:rPr>
                <w:rFonts w:ascii="Arial" w:hAnsi="Arial" w:cs="Arial"/>
                <w:b/>
                <w:bCs/>
                <w:color w:val="000000"/>
                <w:sz w:val="26"/>
                <w:szCs w:val="26"/>
                <w:rtl/>
              </w:rPr>
              <w:t>0.0032</w:t>
            </w:r>
            <w:r w:rsidRPr="001E6881">
              <w:rPr>
                <w:rFonts w:ascii="Arial" w:hAnsi="Arial" w:cs="Arial" w:hint="cs"/>
                <w:b/>
                <w:bCs/>
                <w:color w:val="000000"/>
                <w:sz w:val="26"/>
                <w:szCs w:val="26"/>
                <w:rtl/>
              </w:rPr>
              <w:t>7</w:t>
            </w:r>
            <w:r w:rsidRPr="001E6881">
              <w:rPr>
                <w:rFonts w:ascii="Arial" w:hAnsi="Arial" w:cs="Arial"/>
                <w:b/>
                <w:bCs/>
                <w:color w:val="000000"/>
                <w:sz w:val="26"/>
                <w:szCs w:val="26"/>
                <w:rtl/>
              </w:rPr>
              <w:t>%</w:t>
            </w:r>
          </w:p>
        </w:tc>
      </w:tr>
      <w:tr w:rsidR="001E6881" w:rsidRPr="001E6881" w:rsidTr="001E6881">
        <w:trPr>
          <w:trHeight w:val="20"/>
        </w:trPr>
        <w:tc>
          <w:tcPr>
            <w:tcW w:w="1991" w:type="pct"/>
            <w:gridSpan w:val="3"/>
            <w:vAlign w:val="center"/>
          </w:tcPr>
          <w:p w:rsidR="001E6881" w:rsidRPr="001E6881" w:rsidRDefault="001E6881" w:rsidP="001E6881">
            <w:pPr>
              <w:jc w:val="center"/>
              <w:rPr>
                <w:rFonts w:asciiTheme="majorBidi" w:eastAsia="Times New Roman" w:hAnsiTheme="majorBidi" w:cstheme="majorBidi"/>
                <w:b/>
                <w:bCs/>
                <w:color w:val="000000"/>
                <w:sz w:val="26"/>
                <w:szCs w:val="26"/>
                <w:rtl/>
              </w:rPr>
            </w:pPr>
            <w:proofErr w:type="spellStart"/>
            <w:r w:rsidRPr="001E6881">
              <w:rPr>
                <w:rFonts w:asciiTheme="majorBidi" w:eastAsia="Times New Roman" w:hAnsiTheme="majorBidi" w:cstheme="majorBidi" w:hint="cs"/>
                <w:b/>
                <w:bCs/>
                <w:color w:val="000000"/>
                <w:sz w:val="26"/>
                <w:szCs w:val="26"/>
                <w:rtl/>
              </w:rPr>
              <w:t>الاجمالى</w:t>
            </w:r>
            <w:proofErr w:type="spellEnd"/>
          </w:p>
        </w:tc>
        <w:tc>
          <w:tcPr>
            <w:tcW w:w="986" w:type="pct"/>
            <w:vAlign w:val="center"/>
          </w:tcPr>
          <w:p w:rsidR="001E6881" w:rsidRPr="001E6881" w:rsidRDefault="001E6881" w:rsidP="001E6881">
            <w:pPr>
              <w:spacing w:line="276" w:lineRule="auto"/>
              <w:jc w:val="center"/>
              <w:rPr>
                <w:rFonts w:asciiTheme="majorBidi" w:eastAsia="Times New Roman" w:hAnsiTheme="majorBidi" w:cstheme="majorBidi"/>
                <w:b/>
                <w:bCs/>
                <w:color w:val="000000"/>
                <w:sz w:val="26"/>
                <w:szCs w:val="26"/>
                <w:rtl/>
              </w:rPr>
            </w:pPr>
            <w:r w:rsidRPr="001E6881">
              <w:rPr>
                <w:rFonts w:asciiTheme="majorBidi" w:eastAsia="Times New Roman" w:hAnsiTheme="majorBidi" w:cstheme="majorBidi"/>
                <w:b/>
                <w:bCs/>
                <w:color w:val="000000"/>
                <w:sz w:val="26"/>
                <w:szCs w:val="26"/>
                <w:rtl/>
              </w:rPr>
              <w:fldChar w:fldCharType="begin"/>
            </w:r>
            <w:r w:rsidRPr="001E6881">
              <w:rPr>
                <w:rFonts w:asciiTheme="majorBidi" w:eastAsia="Times New Roman" w:hAnsiTheme="majorBidi" w:cstheme="majorBidi"/>
                <w:b/>
                <w:bCs/>
                <w:color w:val="000000"/>
                <w:sz w:val="26"/>
                <w:szCs w:val="26"/>
                <w:rtl/>
              </w:rPr>
              <w:instrText xml:space="preserve"> =</w:instrText>
            </w:r>
            <w:r w:rsidRPr="001E6881">
              <w:rPr>
                <w:rFonts w:asciiTheme="majorBidi" w:eastAsia="Times New Roman" w:hAnsiTheme="majorBidi" w:cstheme="majorBidi"/>
                <w:b/>
                <w:bCs/>
                <w:color w:val="000000"/>
                <w:sz w:val="26"/>
                <w:szCs w:val="26"/>
              </w:rPr>
              <w:instrText>SUM(ABOVE)</w:instrText>
            </w:r>
            <w:r w:rsidRPr="001E6881">
              <w:rPr>
                <w:rFonts w:asciiTheme="majorBidi" w:eastAsia="Times New Roman" w:hAnsiTheme="majorBidi" w:cstheme="majorBidi"/>
                <w:b/>
                <w:bCs/>
                <w:color w:val="000000"/>
                <w:sz w:val="26"/>
                <w:szCs w:val="26"/>
                <w:rtl/>
              </w:rPr>
              <w:instrText xml:space="preserve"> </w:instrText>
            </w:r>
            <w:r w:rsidRPr="001E6881">
              <w:rPr>
                <w:rFonts w:asciiTheme="majorBidi" w:eastAsia="Times New Roman" w:hAnsiTheme="majorBidi" w:cstheme="majorBidi"/>
                <w:b/>
                <w:bCs/>
                <w:color w:val="000000"/>
                <w:sz w:val="26"/>
                <w:szCs w:val="26"/>
                <w:rtl/>
              </w:rPr>
              <w:fldChar w:fldCharType="separate"/>
            </w:r>
            <w:r w:rsidRPr="001E6881">
              <w:rPr>
                <w:rFonts w:asciiTheme="majorBidi" w:eastAsia="Times New Roman" w:hAnsiTheme="majorBidi" w:cstheme="majorBidi"/>
                <w:b/>
                <w:bCs/>
                <w:noProof/>
                <w:color w:val="000000"/>
                <w:sz w:val="26"/>
                <w:szCs w:val="26"/>
                <w:rtl/>
              </w:rPr>
              <w:t>52996360</w:t>
            </w:r>
            <w:r w:rsidRPr="001E6881">
              <w:rPr>
                <w:rFonts w:asciiTheme="majorBidi" w:eastAsia="Times New Roman" w:hAnsiTheme="majorBidi" w:cstheme="majorBidi"/>
                <w:b/>
                <w:bCs/>
                <w:color w:val="000000"/>
                <w:sz w:val="26"/>
                <w:szCs w:val="26"/>
                <w:rtl/>
              </w:rPr>
              <w:fldChar w:fldCharType="end"/>
            </w:r>
          </w:p>
        </w:tc>
        <w:tc>
          <w:tcPr>
            <w:tcW w:w="1058" w:type="pct"/>
            <w:vAlign w:val="center"/>
          </w:tcPr>
          <w:p w:rsidR="001E6881" w:rsidRPr="001E6881" w:rsidRDefault="001E6881" w:rsidP="001E6881">
            <w:pPr>
              <w:jc w:val="center"/>
              <w:rPr>
                <w:rFonts w:asciiTheme="majorBidi" w:eastAsia="Times New Roman" w:hAnsiTheme="majorBidi" w:cs="Times New Roman"/>
                <w:b/>
                <w:bCs/>
                <w:color w:val="000000"/>
                <w:sz w:val="26"/>
                <w:szCs w:val="26"/>
                <w:rtl/>
              </w:rPr>
            </w:pPr>
            <w:r w:rsidRPr="001E6881">
              <w:rPr>
                <w:rFonts w:asciiTheme="majorBidi" w:eastAsia="Times New Roman" w:hAnsiTheme="majorBidi" w:cs="Times New Roman"/>
                <w:b/>
                <w:bCs/>
                <w:color w:val="000000"/>
                <w:sz w:val="26"/>
                <w:szCs w:val="26"/>
                <w:rtl/>
              </w:rPr>
              <w:fldChar w:fldCharType="begin"/>
            </w:r>
            <w:r w:rsidRPr="001E6881">
              <w:rPr>
                <w:rFonts w:asciiTheme="majorBidi" w:eastAsia="Times New Roman" w:hAnsiTheme="majorBidi" w:cs="Times New Roman"/>
                <w:b/>
                <w:bCs/>
                <w:color w:val="000000"/>
                <w:sz w:val="26"/>
                <w:szCs w:val="26"/>
                <w:rtl/>
              </w:rPr>
              <w:instrText xml:space="preserve"> =</w:instrText>
            </w:r>
            <w:r w:rsidRPr="001E6881">
              <w:rPr>
                <w:rFonts w:asciiTheme="majorBidi" w:eastAsia="Times New Roman" w:hAnsiTheme="majorBidi" w:cs="Times New Roman"/>
                <w:b/>
                <w:bCs/>
                <w:color w:val="000000"/>
                <w:sz w:val="26"/>
                <w:szCs w:val="26"/>
              </w:rPr>
              <w:instrText>SUM(ABOVE)</w:instrText>
            </w:r>
            <w:r w:rsidRPr="001E6881">
              <w:rPr>
                <w:rFonts w:asciiTheme="majorBidi" w:eastAsia="Times New Roman" w:hAnsiTheme="majorBidi" w:cs="Times New Roman"/>
                <w:b/>
                <w:bCs/>
                <w:color w:val="000000"/>
                <w:sz w:val="26"/>
                <w:szCs w:val="26"/>
                <w:rtl/>
              </w:rPr>
              <w:instrText xml:space="preserve"> </w:instrText>
            </w:r>
            <w:r w:rsidRPr="001E6881">
              <w:rPr>
                <w:rFonts w:asciiTheme="majorBidi" w:eastAsia="Times New Roman" w:hAnsiTheme="majorBidi" w:cs="Times New Roman"/>
                <w:b/>
                <w:bCs/>
                <w:color w:val="000000"/>
                <w:sz w:val="26"/>
                <w:szCs w:val="26"/>
                <w:rtl/>
              </w:rPr>
              <w:fldChar w:fldCharType="separate"/>
            </w:r>
            <w:r w:rsidRPr="001E6881">
              <w:rPr>
                <w:rFonts w:asciiTheme="majorBidi" w:eastAsia="Times New Roman" w:hAnsiTheme="majorBidi" w:cs="Times New Roman"/>
                <w:b/>
                <w:bCs/>
                <w:noProof/>
                <w:color w:val="000000"/>
                <w:sz w:val="26"/>
                <w:szCs w:val="26"/>
                <w:rtl/>
              </w:rPr>
              <w:t>264981800</w:t>
            </w:r>
            <w:r w:rsidRPr="001E6881">
              <w:rPr>
                <w:rFonts w:asciiTheme="majorBidi" w:eastAsia="Times New Roman" w:hAnsiTheme="majorBidi" w:cs="Times New Roman"/>
                <w:b/>
                <w:bCs/>
                <w:color w:val="000000"/>
                <w:sz w:val="26"/>
                <w:szCs w:val="26"/>
                <w:rtl/>
              </w:rPr>
              <w:fldChar w:fldCharType="end"/>
            </w:r>
          </w:p>
        </w:tc>
        <w:tc>
          <w:tcPr>
            <w:tcW w:w="965" w:type="pct"/>
            <w:vAlign w:val="center"/>
          </w:tcPr>
          <w:p w:rsidR="001E6881" w:rsidRPr="001E6881" w:rsidRDefault="001E6881" w:rsidP="001E6881">
            <w:pPr>
              <w:jc w:val="center"/>
              <w:rPr>
                <w:rFonts w:ascii="Arial" w:hAnsi="Arial" w:cs="Arial"/>
                <w:b/>
                <w:bCs/>
                <w:color w:val="000000"/>
                <w:sz w:val="26"/>
                <w:szCs w:val="26"/>
                <w:rtl/>
              </w:rPr>
            </w:pPr>
            <w:r w:rsidRPr="001E6881">
              <w:rPr>
                <w:rFonts w:ascii="Arial" w:hAnsi="Arial" w:cs="Arial"/>
                <w:b/>
                <w:bCs/>
                <w:color w:val="000000"/>
                <w:sz w:val="26"/>
                <w:szCs w:val="26"/>
                <w:rtl/>
                <w:lang w:bidi="ar-EG"/>
              </w:rPr>
              <w:fldChar w:fldCharType="begin"/>
            </w:r>
            <w:r w:rsidRPr="001E6881">
              <w:rPr>
                <w:rFonts w:ascii="Arial" w:hAnsi="Arial" w:cs="Arial"/>
                <w:b/>
                <w:bCs/>
                <w:color w:val="000000"/>
                <w:sz w:val="26"/>
                <w:szCs w:val="26"/>
                <w:rtl/>
                <w:lang w:bidi="ar-EG"/>
              </w:rPr>
              <w:instrText xml:space="preserve"> =</w:instrText>
            </w:r>
            <w:r w:rsidRPr="001E6881">
              <w:rPr>
                <w:rFonts w:ascii="Arial" w:hAnsi="Arial" w:cs="Arial"/>
                <w:b/>
                <w:bCs/>
                <w:color w:val="000000"/>
                <w:sz w:val="26"/>
                <w:szCs w:val="26"/>
                <w:lang w:bidi="ar-EG"/>
              </w:rPr>
              <w:instrText>SUM(ABOVE)*</w:instrText>
            </w:r>
            <w:r w:rsidRPr="001E6881">
              <w:rPr>
                <w:rFonts w:ascii="Arial" w:hAnsi="Arial" w:cs="Arial"/>
                <w:b/>
                <w:bCs/>
                <w:color w:val="000000"/>
                <w:sz w:val="26"/>
                <w:szCs w:val="26"/>
                <w:rtl/>
                <w:lang w:bidi="ar-EG"/>
              </w:rPr>
              <w:instrText xml:space="preserve">100 \# "0.000%" </w:instrText>
            </w:r>
            <w:r w:rsidRPr="001E6881">
              <w:rPr>
                <w:rFonts w:ascii="Arial" w:hAnsi="Arial" w:cs="Arial"/>
                <w:b/>
                <w:bCs/>
                <w:color w:val="000000"/>
                <w:sz w:val="26"/>
                <w:szCs w:val="26"/>
                <w:rtl/>
                <w:lang w:bidi="ar-EG"/>
              </w:rPr>
              <w:fldChar w:fldCharType="separate"/>
            </w:r>
            <w:r w:rsidRPr="001E6881">
              <w:rPr>
                <w:rFonts w:ascii="Arial" w:hAnsi="Arial" w:cs="Arial"/>
                <w:b/>
                <w:bCs/>
                <w:noProof/>
                <w:color w:val="000000"/>
                <w:sz w:val="26"/>
                <w:szCs w:val="26"/>
                <w:rtl/>
                <w:lang w:bidi="ar-EG"/>
              </w:rPr>
              <w:t>100.000%</w:t>
            </w:r>
            <w:r w:rsidRPr="001E6881">
              <w:rPr>
                <w:rFonts w:ascii="Arial" w:hAnsi="Arial" w:cs="Arial"/>
                <w:b/>
                <w:bCs/>
                <w:color w:val="000000"/>
                <w:sz w:val="26"/>
                <w:szCs w:val="26"/>
                <w:rtl/>
                <w:lang w:bidi="ar-EG"/>
              </w:rPr>
              <w:fldChar w:fldCharType="end"/>
            </w:r>
          </w:p>
        </w:tc>
      </w:tr>
    </w:tbl>
    <w:p w:rsidR="002F25A2" w:rsidRPr="00FE50F0" w:rsidRDefault="002F25A2" w:rsidP="002F25A2">
      <w:pPr>
        <w:pStyle w:val="ListParagraph"/>
        <w:ind w:left="360"/>
        <w:jc w:val="lowKashida"/>
        <w:rPr>
          <w:rFonts w:asciiTheme="minorBidi" w:eastAsia="Times New Roman" w:hAnsiTheme="minorBidi"/>
          <w:b/>
          <w:bCs/>
          <w:color w:val="000000"/>
          <w:sz w:val="12"/>
          <w:szCs w:val="12"/>
          <w:rtl/>
        </w:rPr>
      </w:pPr>
    </w:p>
    <w:p w:rsidR="002F25A2" w:rsidRDefault="002F25A2" w:rsidP="002F25A2">
      <w:pPr>
        <w:pStyle w:val="ListParagraph"/>
        <w:ind w:left="360"/>
        <w:jc w:val="lowKashida"/>
        <w:rPr>
          <w:rFonts w:asciiTheme="minorBidi" w:eastAsia="Times New Roman" w:hAnsiTheme="minorBidi"/>
          <w:b/>
          <w:bCs/>
          <w:color w:val="000000"/>
          <w:sz w:val="28"/>
          <w:szCs w:val="28"/>
        </w:rPr>
      </w:pPr>
    </w:p>
    <w:p w:rsidR="008A764F" w:rsidRPr="00570822" w:rsidRDefault="008A764F" w:rsidP="00121E9C">
      <w:pPr>
        <w:pStyle w:val="ListParagraph"/>
        <w:numPr>
          <w:ilvl w:val="0"/>
          <w:numId w:val="1"/>
        </w:numPr>
        <w:ind w:left="360"/>
        <w:jc w:val="lowKashida"/>
        <w:rPr>
          <w:rFonts w:asciiTheme="minorBidi" w:eastAsia="Times New Roman" w:hAnsiTheme="minorBidi" w:hint="cs"/>
          <w:b/>
          <w:bCs/>
          <w:color w:val="000000"/>
          <w:sz w:val="30"/>
          <w:szCs w:val="30"/>
          <w:u w:val="single"/>
        </w:rPr>
      </w:pPr>
      <w:r w:rsidRPr="00570822">
        <w:rPr>
          <w:rFonts w:asciiTheme="minorBidi" w:eastAsia="Times New Roman" w:hAnsiTheme="minorBidi" w:hint="cs"/>
          <w:b/>
          <w:bCs/>
          <w:color w:val="000000"/>
          <w:sz w:val="30"/>
          <w:szCs w:val="30"/>
          <w:u w:val="single"/>
          <w:rtl/>
        </w:rPr>
        <w:t xml:space="preserve">نشاط الشركة : </w:t>
      </w:r>
    </w:p>
    <w:p w:rsidR="006E3673" w:rsidRPr="006E3673" w:rsidRDefault="006E3673" w:rsidP="00FE50F0">
      <w:pPr>
        <w:pStyle w:val="ListParagraph"/>
        <w:numPr>
          <w:ilvl w:val="0"/>
          <w:numId w:val="2"/>
        </w:numPr>
        <w:ind w:left="360"/>
        <w:jc w:val="lowKashida"/>
        <w:rPr>
          <w:rFonts w:asciiTheme="minorBidi" w:eastAsia="Times New Roman" w:hAnsiTheme="minorBidi"/>
          <w:b/>
          <w:bCs/>
          <w:color w:val="000000"/>
          <w:sz w:val="30"/>
          <w:szCs w:val="30"/>
          <w:rtl/>
        </w:rPr>
      </w:pPr>
      <w:bookmarkStart w:id="0" w:name="_GoBack"/>
      <w:r w:rsidRPr="006E3673">
        <w:rPr>
          <w:rFonts w:asciiTheme="minorBidi" w:eastAsia="Times New Roman" w:hAnsiTheme="minorBidi"/>
          <w:b/>
          <w:bCs/>
          <w:color w:val="000000"/>
          <w:sz w:val="30"/>
          <w:szCs w:val="30"/>
          <w:rtl/>
        </w:rPr>
        <w:t xml:space="preserve">القيام بجميع أعمال نقل البضائع والمواد البترولية على الطرق داخل الجمهورية وخارجها ونقل وتوزيع البوتاجاز </w:t>
      </w:r>
      <w:r w:rsidRPr="006E3673">
        <w:rPr>
          <w:rFonts w:asciiTheme="minorBidi" w:eastAsia="Times New Roman" w:hAnsiTheme="minorBidi" w:hint="cs"/>
          <w:b/>
          <w:bCs/>
          <w:color w:val="000000"/>
          <w:sz w:val="30"/>
          <w:szCs w:val="30"/>
          <w:rtl/>
        </w:rPr>
        <w:t xml:space="preserve"> </w:t>
      </w:r>
      <w:r w:rsidRPr="006E3673">
        <w:rPr>
          <w:rFonts w:asciiTheme="minorBidi" w:eastAsia="Times New Roman" w:hAnsiTheme="minorBidi"/>
          <w:b/>
          <w:bCs/>
          <w:color w:val="000000"/>
          <w:sz w:val="30"/>
          <w:szCs w:val="30"/>
          <w:rtl/>
        </w:rPr>
        <w:t xml:space="preserve">وللشركة العمل على الحصول على رخص أو التزامات  لتشغيل خطوط النقل واتفاقيات خاصة بمقاولات عمليات نقل البضائع والمهمات اللازمة للتشييد والبناء أو التوكيلات وما يستتبعه ذلك من الأنشطة المتعلقة بهذا النشاط </w:t>
      </w:r>
    </w:p>
    <w:p w:rsidR="006E3673" w:rsidRPr="006E3673" w:rsidRDefault="006E3673" w:rsidP="00FE50F0">
      <w:pPr>
        <w:pStyle w:val="ListParagraph"/>
        <w:numPr>
          <w:ilvl w:val="0"/>
          <w:numId w:val="2"/>
        </w:numPr>
        <w:spacing w:after="0" w:line="240" w:lineRule="auto"/>
        <w:ind w:left="360"/>
        <w:jc w:val="lowKashida"/>
        <w:rPr>
          <w:rFonts w:asciiTheme="minorBidi" w:eastAsia="Times New Roman" w:hAnsiTheme="minorBidi"/>
          <w:b/>
          <w:bCs/>
          <w:color w:val="000000"/>
          <w:sz w:val="30"/>
          <w:szCs w:val="30"/>
          <w:rtl/>
        </w:rPr>
      </w:pPr>
      <w:r w:rsidRPr="006E3673">
        <w:rPr>
          <w:rFonts w:asciiTheme="minorBidi" w:eastAsia="Times New Roman" w:hAnsiTheme="minorBidi"/>
          <w:b/>
          <w:bCs/>
          <w:color w:val="000000"/>
          <w:sz w:val="30"/>
          <w:szCs w:val="30"/>
          <w:rtl/>
        </w:rPr>
        <w:t xml:space="preserve">وللشركة إنشاء مناطق حرة </w:t>
      </w:r>
      <w:proofErr w:type="spellStart"/>
      <w:r w:rsidRPr="006E3673">
        <w:rPr>
          <w:rFonts w:asciiTheme="minorBidi" w:eastAsia="Times New Roman" w:hAnsiTheme="minorBidi"/>
          <w:b/>
          <w:bCs/>
          <w:color w:val="000000"/>
          <w:sz w:val="30"/>
          <w:szCs w:val="30"/>
          <w:rtl/>
        </w:rPr>
        <w:t>لإستقبال</w:t>
      </w:r>
      <w:proofErr w:type="spellEnd"/>
      <w:r w:rsidRPr="006E3673">
        <w:rPr>
          <w:rFonts w:asciiTheme="minorBidi" w:eastAsia="Times New Roman" w:hAnsiTheme="minorBidi"/>
          <w:b/>
          <w:bCs/>
          <w:color w:val="000000"/>
          <w:sz w:val="30"/>
          <w:szCs w:val="30"/>
          <w:rtl/>
        </w:rPr>
        <w:t xml:space="preserve"> بضائع الغير والتخليص عليها ونقلها لصالحهم و لها القيام بعمليات التخزين المحلى وإنشاء مخازن الترانزيت في القاهرة ومختلف المدن </w:t>
      </w:r>
      <w:proofErr w:type="spellStart"/>
      <w:r w:rsidRPr="006E3673">
        <w:rPr>
          <w:rFonts w:asciiTheme="minorBidi" w:eastAsia="Times New Roman" w:hAnsiTheme="minorBidi"/>
          <w:b/>
          <w:bCs/>
          <w:color w:val="000000"/>
          <w:sz w:val="30"/>
          <w:szCs w:val="30"/>
          <w:rtl/>
        </w:rPr>
        <w:t>والموانىء</w:t>
      </w:r>
      <w:proofErr w:type="spellEnd"/>
      <w:r w:rsidRPr="006E3673">
        <w:rPr>
          <w:rFonts w:asciiTheme="minorBidi" w:eastAsia="Times New Roman" w:hAnsiTheme="minorBidi"/>
          <w:b/>
          <w:bCs/>
          <w:color w:val="000000"/>
          <w:sz w:val="30"/>
          <w:szCs w:val="30"/>
          <w:rtl/>
        </w:rPr>
        <w:t xml:space="preserve"> لإيداع وتخزين البضائع فيها توطئة لنقلها والقيام بعمليات الشحن والتفريغ والتخليص الجمركى </w:t>
      </w:r>
    </w:p>
    <w:p w:rsidR="006E3673" w:rsidRPr="006E3673" w:rsidRDefault="006E3673" w:rsidP="00FE50F0">
      <w:pPr>
        <w:pStyle w:val="ListParagraph"/>
        <w:numPr>
          <w:ilvl w:val="0"/>
          <w:numId w:val="2"/>
        </w:numPr>
        <w:spacing w:after="0" w:line="240" w:lineRule="auto"/>
        <w:ind w:left="360"/>
        <w:jc w:val="lowKashida"/>
        <w:rPr>
          <w:rFonts w:asciiTheme="minorBidi" w:eastAsia="Times New Roman" w:hAnsiTheme="minorBidi"/>
          <w:b/>
          <w:bCs/>
          <w:color w:val="000000"/>
          <w:sz w:val="30"/>
          <w:szCs w:val="30"/>
          <w:rtl/>
        </w:rPr>
      </w:pPr>
      <w:r w:rsidRPr="006E3673">
        <w:rPr>
          <w:rFonts w:asciiTheme="minorBidi" w:eastAsia="Times New Roman" w:hAnsiTheme="minorBidi"/>
          <w:b/>
          <w:bCs/>
          <w:color w:val="000000"/>
          <w:sz w:val="30"/>
          <w:szCs w:val="30"/>
          <w:rtl/>
        </w:rPr>
        <w:t xml:space="preserve">وللشركة إنشاء الورش لإصلاح وصيانة الوحدات الناقلة المملوكة لها وكذا </w:t>
      </w:r>
      <w:proofErr w:type="spellStart"/>
      <w:r w:rsidRPr="006E3673">
        <w:rPr>
          <w:rFonts w:asciiTheme="minorBidi" w:eastAsia="Times New Roman" w:hAnsiTheme="minorBidi"/>
          <w:b/>
          <w:bCs/>
          <w:color w:val="000000"/>
          <w:sz w:val="30"/>
          <w:szCs w:val="30"/>
          <w:rtl/>
        </w:rPr>
        <w:t>انشاء</w:t>
      </w:r>
      <w:proofErr w:type="spellEnd"/>
      <w:r w:rsidRPr="006E3673">
        <w:rPr>
          <w:rFonts w:asciiTheme="minorBidi" w:eastAsia="Times New Roman" w:hAnsiTheme="minorBidi"/>
          <w:b/>
          <w:bCs/>
          <w:color w:val="000000"/>
          <w:sz w:val="30"/>
          <w:szCs w:val="30"/>
          <w:rtl/>
        </w:rPr>
        <w:t xml:space="preserve"> </w:t>
      </w:r>
      <w:proofErr w:type="spellStart"/>
      <w:r w:rsidRPr="006E3673">
        <w:rPr>
          <w:rFonts w:asciiTheme="minorBidi" w:eastAsia="Times New Roman" w:hAnsiTheme="minorBidi"/>
          <w:b/>
          <w:bCs/>
          <w:color w:val="000000"/>
          <w:sz w:val="30"/>
          <w:szCs w:val="30"/>
          <w:rtl/>
        </w:rPr>
        <w:t>وادارة</w:t>
      </w:r>
      <w:proofErr w:type="spellEnd"/>
      <w:r w:rsidRPr="006E3673">
        <w:rPr>
          <w:rFonts w:asciiTheme="minorBidi" w:eastAsia="Times New Roman" w:hAnsiTheme="minorBidi"/>
          <w:b/>
          <w:bCs/>
          <w:color w:val="000000"/>
          <w:sz w:val="30"/>
          <w:szCs w:val="30"/>
          <w:rtl/>
        </w:rPr>
        <w:t xml:space="preserve"> وتشغيل محطات الخدمة والصيانة لتموين وبيع الوقود والزيوت والشحومات لسيارات الشركة والغير سواء بنفسها </w:t>
      </w:r>
      <w:proofErr w:type="spellStart"/>
      <w:r w:rsidRPr="006E3673">
        <w:rPr>
          <w:rFonts w:asciiTheme="minorBidi" w:eastAsia="Times New Roman" w:hAnsiTheme="minorBidi"/>
          <w:b/>
          <w:bCs/>
          <w:color w:val="000000"/>
          <w:sz w:val="30"/>
          <w:szCs w:val="30"/>
          <w:rtl/>
        </w:rPr>
        <w:t>او</w:t>
      </w:r>
      <w:proofErr w:type="spellEnd"/>
      <w:r w:rsidRPr="006E3673">
        <w:rPr>
          <w:rFonts w:asciiTheme="minorBidi" w:eastAsia="Times New Roman" w:hAnsiTheme="minorBidi"/>
          <w:b/>
          <w:bCs/>
          <w:color w:val="000000"/>
          <w:sz w:val="30"/>
          <w:szCs w:val="30"/>
          <w:rtl/>
        </w:rPr>
        <w:t xml:space="preserve"> بالمشاركة مع الغير </w:t>
      </w:r>
    </w:p>
    <w:p w:rsidR="006E3673" w:rsidRPr="006E3673" w:rsidRDefault="006E3673" w:rsidP="00FE50F0">
      <w:pPr>
        <w:pStyle w:val="ListParagraph"/>
        <w:spacing w:after="0" w:line="240" w:lineRule="auto"/>
        <w:ind w:left="360"/>
        <w:jc w:val="lowKashida"/>
        <w:rPr>
          <w:rFonts w:asciiTheme="minorBidi" w:eastAsia="Times New Roman" w:hAnsiTheme="minorBidi"/>
          <w:b/>
          <w:bCs/>
          <w:color w:val="000000"/>
          <w:sz w:val="10"/>
          <w:szCs w:val="10"/>
          <w:rtl/>
        </w:rPr>
      </w:pPr>
    </w:p>
    <w:p w:rsidR="006E3673" w:rsidRPr="006E3673" w:rsidRDefault="006E3673" w:rsidP="00FE50F0">
      <w:pPr>
        <w:pStyle w:val="ListParagraph"/>
        <w:numPr>
          <w:ilvl w:val="0"/>
          <w:numId w:val="2"/>
        </w:numPr>
        <w:spacing w:after="0" w:line="240" w:lineRule="auto"/>
        <w:ind w:left="360"/>
        <w:jc w:val="lowKashida"/>
        <w:rPr>
          <w:rFonts w:asciiTheme="minorBidi" w:eastAsia="Times New Roman" w:hAnsiTheme="minorBidi"/>
          <w:b/>
          <w:bCs/>
          <w:color w:val="000000"/>
          <w:sz w:val="30"/>
          <w:szCs w:val="30"/>
          <w:rtl/>
        </w:rPr>
      </w:pPr>
      <w:r w:rsidRPr="006E3673">
        <w:rPr>
          <w:rFonts w:asciiTheme="minorBidi" w:eastAsia="Times New Roman" w:hAnsiTheme="minorBidi"/>
          <w:b/>
          <w:bCs/>
          <w:color w:val="000000"/>
          <w:sz w:val="30"/>
          <w:szCs w:val="30"/>
          <w:rtl/>
        </w:rPr>
        <w:t xml:space="preserve">للشركة </w:t>
      </w:r>
      <w:proofErr w:type="spellStart"/>
      <w:r w:rsidRPr="006E3673">
        <w:rPr>
          <w:rFonts w:asciiTheme="minorBidi" w:eastAsia="Times New Roman" w:hAnsiTheme="minorBidi"/>
          <w:b/>
          <w:bCs/>
          <w:color w:val="000000"/>
          <w:sz w:val="30"/>
          <w:szCs w:val="30"/>
          <w:rtl/>
        </w:rPr>
        <w:t>ان</w:t>
      </w:r>
      <w:proofErr w:type="spellEnd"/>
      <w:r w:rsidRPr="006E3673">
        <w:rPr>
          <w:rFonts w:asciiTheme="minorBidi" w:eastAsia="Times New Roman" w:hAnsiTheme="minorBidi"/>
          <w:b/>
          <w:bCs/>
          <w:color w:val="000000"/>
          <w:sz w:val="30"/>
          <w:szCs w:val="30"/>
          <w:rtl/>
        </w:rPr>
        <w:t xml:space="preserve"> تمارس نشاط الاستثمار العقارى بكافة صوره </w:t>
      </w:r>
      <w:proofErr w:type="spellStart"/>
      <w:r w:rsidRPr="006E3673">
        <w:rPr>
          <w:rFonts w:asciiTheme="minorBidi" w:eastAsia="Times New Roman" w:hAnsiTheme="minorBidi"/>
          <w:b/>
          <w:bCs/>
          <w:color w:val="000000"/>
          <w:sz w:val="30"/>
          <w:szCs w:val="30"/>
          <w:rtl/>
        </w:rPr>
        <w:t>واشكاله</w:t>
      </w:r>
      <w:proofErr w:type="spellEnd"/>
      <w:r w:rsidRPr="006E3673">
        <w:rPr>
          <w:rFonts w:asciiTheme="minorBidi" w:eastAsia="Times New Roman" w:hAnsiTheme="minorBidi"/>
          <w:b/>
          <w:bCs/>
          <w:color w:val="000000"/>
          <w:sz w:val="30"/>
          <w:szCs w:val="30"/>
          <w:rtl/>
        </w:rPr>
        <w:t xml:space="preserve"> سواء بنفسها </w:t>
      </w:r>
      <w:proofErr w:type="spellStart"/>
      <w:r w:rsidRPr="006E3673">
        <w:rPr>
          <w:rFonts w:asciiTheme="minorBidi" w:eastAsia="Times New Roman" w:hAnsiTheme="minorBidi"/>
          <w:b/>
          <w:bCs/>
          <w:color w:val="000000"/>
          <w:sz w:val="30"/>
          <w:szCs w:val="30"/>
          <w:rtl/>
        </w:rPr>
        <w:t>او</w:t>
      </w:r>
      <w:proofErr w:type="spellEnd"/>
      <w:r w:rsidRPr="006E3673">
        <w:rPr>
          <w:rFonts w:asciiTheme="minorBidi" w:eastAsia="Times New Roman" w:hAnsiTheme="minorBidi"/>
          <w:b/>
          <w:bCs/>
          <w:color w:val="000000"/>
          <w:sz w:val="30"/>
          <w:szCs w:val="30"/>
          <w:rtl/>
        </w:rPr>
        <w:t xml:space="preserve"> بالوكالة منفردة </w:t>
      </w:r>
      <w:proofErr w:type="spellStart"/>
      <w:r w:rsidRPr="006E3673">
        <w:rPr>
          <w:rFonts w:asciiTheme="minorBidi" w:eastAsia="Times New Roman" w:hAnsiTheme="minorBidi"/>
          <w:b/>
          <w:bCs/>
          <w:color w:val="000000"/>
          <w:sz w:val="30"/>
          <w:szCs w:val="30"/>
          <w:rtl/>
        </w:rPr>
        <w:t>او</w:t>
      </w:r>
      <w:proofErr w:type="spellEnd"/>
      <w:r w:rsidRPr="006E3673">
        <w:rPr>
          <w:rFonts w:asciiTheme="minorBidi" w:eastAsia="Times New Roman" w:hAnsiTheme="minorBidi"/>
          <w:b/>
          <w:bCs/>
          <w:color w:val="000000"/>
          <w:sz w:val="30"/>
          <w:szCs w:val="30"/>
          <w:rtl/>
        </w:rPr>
        <w:t xml:space="preserve"> بالاشتراك مع الغير ولها فى سبيل ذلك الحصول على التراخيص اللازمة لمزاولة هذا النشاط وكذا التعاقد مع مكاتب الاستشارات الهندسية وشركات المقاولات وكافة الشركات العاملة فى هذا </w:t>
      </w:r>
      <w:proofErr w:type="spellStart"/>
      <w:r w:rsidRPr="006E3673">
        <w:rPr>
          <w:rFonts w:asciiTheme="minorBidi" w:eastAsia="Times New Roman" w:hAnsiTheme="minorBidi"/>
          <w:b/>
          <w:bCs/>
          <w:color w:val="000000"/>
          <w:sz w:val="30"/>
          <w:szCs w:val="30"/>
          <w:rtl/>
        </w:rPr>
        <w:t>الشان</w:t>
      </w:r>
      <w:proofErr w:type="spellEnd"/>
      <w:r w:rsidRPr="006E3673">
        <w:rPr>
          <w:rFonts w:asciiTheme="minorBidi" w:eastAsia="Times New Roman" w:hAnsiTheme="minorBidi"/>
          <w:b/>
          <w:bCs/>
          <w:color w:val="000000"/>
          <w:sz w:val="30"/>
          <w:szCs w:val="30"/>
          <w:rtl/>
        </w:rPr>
        <w:t xml:space="preserve"> فيما عدا شبه جزيرة سيناء</w:t>
      </w:r>
    </w:p>
    <w:p w:rsidR="006E3673" w:rsidRPr="00FE50F0" w:rsidRDefault="006E3673" w:rsidP="00FE50F0">
      <w:pPr>
        <w:pStyle w:val="ListParagraph"/>
        <w:numPr>
          <w:ilvl w:val="0"/>
          <w:numId w:val="2"/>
        </w:numPr>
        <w:spacing w:after="0" w:line="240" w:lineRule="auto"/>
        <w:ind w:left="360"/>
        <w:jc w:val="lowKashida"/>
        <w:rPr>
          <w:rFonts w:asciiTheme="minorBidi" w:eastAsia="Times New Roman" w:hAnsiTheme="minorBidi"/>
          <w:b/>
          <w:bCs/>
          <w:color w:val="000000"/>
          <w:sz w:val="30"/>
          <w:szCs w:val="30"/>
        </w:rPr>
      </w:pPr>
      <w:r w:rsidRPr="006E3673">
        <w:rPr>
          <w:rFonts w:asciiTheme="minorBidi" w:eastAsia="Times New Roman" w:hAnsiTheme="minorBidi"/>
          <w:b/>
          <w:bCs/>
          <w:color w:val="000000"/>
          <w:sz w:val="30"/>
          <w:szCs w:val="30"/>
          <w:rtl/>
        </w:rPr>
        <w:t xml:space="preserve">للشركة في سبيل تحقيق </w:t>
      </w:r>
      <w:proofErr w:type="spellStart"/>
      <w:r w:rsidRPr="006E3673">
        <w:rPr>
          <w:rFonts w:asciiTheme="minorBidi" w:eastAsia="Times New Roman" w:hAnsiTheme="minorBidi"/>
          <w:b/>
          <w:bCs/>
          <w:color w:val="000000"/>
          <w:sz w:val="30"/>
          <w:szCs w:val="30"/>
          <w:rtl/>
        </w:rPr>
        <w:t>اغراضها</w:t>
      </w:r>
      <w:proofErr w:type="spellEnd"/>
      <w:r w:rsidRPr="006E3673">
        <w:rPr>
          <w:rFonts w:asciiTheme="minorBidi" w:eastAsia="Times New Roman" w:hAnsiTheme="minorBidi"/>
          <w:b/>
          <w:bCs/>
          <w:color w:val="000000"/>
          <w:sz w:val="30"/>
          <w:szCs w:val="30"/>
          <w:rtl/>
        </w:rPr>
        <w:t xml:space="preserve"> القيام بكافة الأعمال الصناعية والتجارية والمالية والعقارية والصناعية والهندسية والمدنية التى تتعلق </w:t>
      </w:r>
      <w:proofErr w:type="spellStart"/>
      <w:r w:rsidRPr="006E3673">
        <w:rPr>
          <w:rFonts w:asciiTheme="minorBidi" w:eastAsia="Times New Roman" w:hAnsiTheme="minorBidi"/>
          <w:b/>
          <w:bCs/>
          <w:color w:val="000000"/>
          <w:sz w:val="30"/>
          <w:szCs w:val="30"/>
          <w:rtl/>
        </w:rPr>
        <w:t>باغراض</w:t>
      </w:r>
      <w:proofErr w:type="spellEnd"/>
      <w:r w:rsidRPr="006E3673">
        <w:rPr>
          <w:rFonts w:asciiTheme="minorBidi" w:eastAsia="Times New Roman" w:hAnsiTheme="minorBidi"/>
          <w:b/>
          <w:bCs/>
          <w:color w:val="000000"/>
          <w:sz w:val="30"/>
          <w:szCs w:val="30"/>
          <w:rtl/>
        </w:rPr>
        <w:t xml:space="preserve"> الشركة بطريقة مباشر أو غير مباشرة وكذلك الأعمال المكملة </w:t>
      </w:r>
      <w:proofErr w:type="spellStart"/>
      <w:r w:rsidRPr="006E3673">
        <w:rPr>
          <w:rFonts w:asciiTheme="minorBidi" w:eastAsia="Times New Roman" w:hAnsiTheme="minorBidi"/>
          <w:b/>
          <w:bCs/>
          <w:color w:val="000000"/>
          <w:sz w:val="30"/>
          <w:szCs w:val="30"/>
          <w:rtl/>
        </w:rPr>
        <w:t>أوالمتممه</w:t>
      </w:r>
      <w:proofErr w:type="spellEnd"/>
      <w:r w:rsidRPr="006E3673">
        <w:rPr>
          <w:rFonts w:asciiTheme="minorBidi" w:eastAsia="Times New Roman" w:hAnsiTheme="minorBidi"/>
          <w:b/>
          <w:bCs/>
          <w:color w:val="000000"/>
          <w:sz w:val="30"/>
          <w:szCs w:val="30"/>
          <w:rtl/>
        </w:rPr>
        <w:t xml:space="preserve"> لهذه </w:t>
      </w:r>
      <w:proofErr w:type="spellStart"/>
      <w:r w:rsidRPr="006E3673">
        <w:rPr>
          <w:rFonts w:asciiTheme="minorBidi" w:eastAsia="Times New Roman" w:hAnsiTheme="minorBidi"/>
          <w:b/>
          <w:bCs/>
          <w:color w:val="000000"/>
          <w:sz w:val="30"/>
          <w:szCs w:val="30"/>
          <w:rtl/>
        </w:rPr>
        <w:t>الاغراض</w:t>
      </w:r>
      <w:proofErr w:type="spellEnd"/>
      <w:r w:rsidRPr="006E3673">
        <w:rPr>
          <w:rFonts w:asciiTheme="minorBidi" w:eastAsia="Times New Roman" w:hAnsiTheme="minorBidi"/>
          <w:b/>
          <w:bCs/>
          <w:color w:val="000000"/>
          <w:sz w:val="30"/>
          <w:szCs w:val="30"/>
          <w:rtl/>
        </w:rPr>
        <w:t xml:space="preserve"> سواء كان القيام بهذه </w:t>
      </w:r>
      <w:proofErr w:type="spellStart"/>
      <w:r w:rsidRPr="006E3673">
        <w:rPr>
          <w:rFonts w:asciiTheme="minorBidi" w:eastAsia="Times New Roman" w:hAnsiTheme="minorBidi"/>
          <w:b/>
          <w:bCs/>
          <w:color w:val="000000"/>
          <w:sz w:val="30"/>
          <w:szCs w:val="30"/>
          <w:rtl/>
        </w:rPr>
        <w:t>الاعمال</w:t>
      </w:r>
      <w:proofErr w:type="spellEnd"/>
      <w:r w:rsidRPr="006E3673">
        <w:rPr>
          <w:rFonts w:asciiTheme="minorBidi" w:eastAsia="Times New Roman" w:hAnsiTheme="minorBidi"/>
          <w:b/>
          <w:bCs/>
          <w:color w:val="000000"/>
          <w:sz w:val="30"/>
          <w:szCs w:val="30"/>
          <w:rtl/>
        </w:rPr>
        <w:t xml:space="preserve"> داخل البلاد </w:t>
      </w:r>
      <w:proofErr w:type="spellStart"/>
      <w:r w:rsidRPr="006E3673">
        <w:rPr>
          <w:rFonts w:asciiTheme="minorBidi" w:eastAsia="Times New Roman" w:hAnsiTheme="minorBidi"/>
          <w:b/>
          <w:bCs/>
          <w:color w:val="000000"/>
          <w:sz w:val="30"/>
          <w:szCs w:val="30"/>
          <w:rtl/>
        </w:rPr>
        <w:t>او</w:t>
      </w:r>
      <w:proofErr w:type="spellEnd"/>
      <w:r w:rsidRPr="006E3673">
        <w:rPr>
          <w:rFonts w:asciiTheme="minorBidi" w:eastAsia="Times New Roman" w:hAnsiTheme="minorBidi"/>
          <w:b/>
          <w:bCs/>
          <w:color w:val="000000"/>
          <w:sz w:val="30"/>
          <w:szCs w:val="30"/>
          <w:rtl/>
        </w:rPr>
        <w:t xml:space="preserve"> خارجها مع مراعاة </w:t>
      </w:r>
      <w:proofErr w:type="spellStart"/>
      <w:r w:rsidRPr="006E3673">
        <w:rPr>
          <w:rFonts w:asciiTheme="minorBidi" w:eastAsia="Times New Roman" w:hAnsiTheme="minorBidi"/>
          <w:b/>
          <w:bCs/>
          <w:color w:val="000000"/>
          <w:sz w:val="30"/>
          <w:szCs w:val="30"/>
          <w:rtl/>
        </w:rPr>
        <w:t>احكام</w:t>
      </w:r>
      <w:proofErr w:type="spellEnd"/>
      <w:r w:rsidRPr="006E3673">
        <w:rPr>
          <w:rFonts w:asciiTheme="minorBidi" w:eastAsia="Times New Roman" w:hAnsiTheme="minorBidi"/>
          <w:b/>
          <w:bCs/>
          <w:color w:val="000000"/>
          <w:sz w:val="30"/>
          <w:szCs w:val="30"/>
          <w:rtl/>
        </w:rPr>
        <w:t xml:space="preserve"> القوانين واللوائح والقرارات السارية وبشرط استصدار التراخيص اللازمة لممارسة هذه </w:t>
      </w:r>
      <w:proofErr w:type="spellStart"/>
      <w:r w:rsidRPr="006E3673">
        <w:rPr>
          <w:rFonts w:asciiTheme="minorBidi" w:eastAsia="Times New Roman" w:hAnsiTheme="minorBidi"/>
          <w:b/>
          <w:bCs/>
          <w:color w:val="000000"/>
          <w:sz w:val="30"/>
          <w:szCs w:val="30"/>
          <w:rtl/>
        </w:rPr>
        <w:t>الانشطة</w:t>
      </w:r>
      <w:proofErr w:type="spellEnd"/>
      <w:r w:rsidRPr="006E3673">
        <w:rPr>
          <w:rFonts w:asciiTheme="minorBidi" w:eastAsia="Times New Roman" w:hAnsiTheme="minorBidi"/>
          <w:b/>
          <w:bCs/>
          <w:color w:val="000000"/>
          <w:sz w:val="30"/>
          <w:szCs w:val="30"/>
          <w:rtl/>
        </w:rPr>
        <w:t xml:space="preserve">  </w:t>
      </w:r>
      <w:bookmarkEnd w:id="0"/>
    </w:p>
    <w:sectPr w:rsidR="006E3673" w:rsidRPr="00FE50F0" w:rsidSect="001E6881">
      <w:pgSz w:w="11906" w:h="16838"/>
      <w:pgMar w:top="567" w:right="567" w:bottom="567" w:left="56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PT Bold Heading">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552B"/>
    <w:multiLevelType w:val="hybridMultilevel"/>
    <w:tmpl w:val="22A0989C"/>
    <w:lvl w:ilvl="0" w:tplc="25A475F8">
      <w:start w:val="1"/>
      <w:numFmt w:val="decimal"/>
      <w:lvlText w:val="%1-"/>
      <w:lvlJc w:val="left"/>
      <w:pPr>
        <w:ind w:left="720" w:hanging="360"/>
      </w:pPr>
      <w:rPr>
        <w:rFonts w:asciiTheme="minorBidi" w:eastAsia="Times New Roman" w:hAnsiTheme="minorBid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C08E4"/>
    <w:multiLevelType w:val="hybridMultilevel"/>
    <w:tmpl w:val="B2585116"/>
    <w:lvl w:ilvl="0" w:tplc="55368C16">
      <w:start w:val="1"/>
      <w:numFmt w:val="arabicAbjad"/>
      <w:suff w:val="space"/>
      <w:lvlText w:val="%1-"/>
      <w:lvlJc w:val="left"/>
      <w:pPr>
        <w:ind w:left="720" w:hanging="360"/>
      </w:pPr>
      <w:rPr>
        <w:rFonts w:ascii="Traditional Arabic" w:hAnsi="Traditional Arabic" w:cs="Traditional Arabic"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61"/>
    <w:rsid w:val="00121E9C"/>
    <w:rsid w:val="001E6881"/>
    <w:rsid w:val="002F25A2"/>
    <w:rsid w:val="00570822"/>
    <w:rsid w:val="006E3673"/>
    <w:rsid w:val="008A764F"/>
    <w:rsid w:val="009A103B"/>
    <w:rsid w:val="009C1C6A"/>
    <w:rsid w:val="00A86C66"/>
    <w:rsid w:val="00E73D61"/>
    <w:rsid w:val="00F51410"/>
    <w:rsid w:val="00FE5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5302"/>
  <w15:chartTrackingRefBased/>
  <w15:docId w15:val="{626E9842-E410-4AD2-9B8E-6BC59CB2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673"/>
    <w:pPr>
      <w:ind w:left="720"/>
      <w:contextualSpacing/>
    </w:pPr>
  </w:style>
  <w:style w:type="table" w:styleId="TableGrid">
    <w:name w:val="Table Grid"/>
    <w:basedOn w:val="TableNormal"/>
    <w:uiPriority w:val="59"/>
    <w:rsid w:val="001E6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reham.m</dc:creator>
  <cp:keywords/>
  <dc:description/>
  <cp:lastModifiedBy>reham.m</cp:lastModifiedBy>
  <cp:revision>2</cp:revision>
  <dcterms:created xsi:type="dcterms:W3CDTF">2023-09-19T11:14:00Z</dcterms:created>
  <dcterms:modified xsi:type="dcterms:W3CDTF">2023-09-19T11:14:00Z</dcterms:modified>
</cp:coreProperties>
</file>