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74092"/>
          <w:sz w:val="72"/>
          <w:szCs w:val="72"/>
        </w:rPr>
        <w:t xml:space="preserve">OMISTOCK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Rapport des modifications</w:t>
      </w:r>
    </w:p>
    <w:p>
      <w:pPr>
        <w:spacing w:after="2400"/>
        <w:jc w:val="center"/>
      </w:pPr>
      <w:r>
        <w:rPr>
          <w:i/>
          <w:iCs/>
          <w:color w:val="555555"/>
          <w:sz w:val="24"/>
          <w:szCs w:val="24"/>
        </w:rPr>
        <w:t xml:space="preserve">Explication détaillée de chaque modification et de sa méthode de réalisation</w:t>
      </w:r>
    </w:p>
    <w:p>
      <w:pPr>
        <w:jc w:val="center"/>
      </w:pPr>
      <w:r>
        <w:rPr>
          <w:b/>
          <w:bCs/>
          <w:color w:val="1F7A3D"/>
          <w:sz w:val="22"/>
          <w:szCs w:val="22"/>
        </w:rPr>
        <w:t xml:space="preserve">État final : application fonctionnelle — 65 tests, 0 échec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t xml:space="preserve">Ce document explique chaque modification apportée au projet OMISTOCK et la manière dont elle a été réalisée, depuis la refonte répondant au rapport de revue jusqu'aux corrections fonctionnelles identifiées lors des tests manuels.</w:t>
      </w:r>
    </w:p>
    <w:p>
      <w:pPr>
        <w:spacing w:after="120"/>
      </w:pPr>
      <w:r>
        <w:t xml:space="preserve">Le projet est évalué sur trois axes : la sécurité, les bonnes pratiques de gestion de stock, et la qualité d'une plateforme prête pour des agents IA (interfaces humaine et agent séparées, niveaux d'autonomie, autorisations, audit et traçabilité, rollback).</w:t>
      </w:r>
    </w:p>
    <w:p>
      <w:pPr>
        <w:pStyle w:val="Heading1"/>
      </w:pPr>
      <w:r>
        <w:t xml:space="preserve">Partie A — Refonte répondant au rapport de revue</w:t>
      </w:r>
    </w:p>
    <w:p>
      <w:pPr>
        <w:pStyle w:val="Heading2"/>
      </w:pPr>
      <w:r>
        <w:t xml:space="preserve">1. Serveur MCP installable et lançable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Le serveur MCP importait FastMCP et httpx, mais ces dépendances n'étaient déclarées nulle part : le serveur ne démarrait pas (ModuleNotFoundError).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On déclare et on aligne les dépendances, puis on sécurise par un test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Création d'un fichier dédié mcp/requirements.txt (mcp[cli], httpx) avec versions épinglées.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Alignement des versions du backend (fastapi, uvicorn, starlette, pydantic, httpx) pour lever les conflits avec le SDK mcp.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Ajout d'un test de fumée qui importe dynamiquement le serveur via importlib (évite la collision de nom avec le paquet mcp installé).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de la procédure de lancement dans le README.</w:t>
      </w:r>
    </w:p>
    <w:p>
      <w:pPr>
        <w:spacing w:after="120"/>
      </w:pPr>
      <w:r>
        <w:rPr>
          <w:b/>
          <w:bCs/>
        </w:rPr>
        <w:t xml:space="preserve">Vérification. </w:t>
      </w:r>
      <w:r>
        <w:t xml:space="preserve">Le serveur s'importe avec ses outils ; la suite de tests reste verte après l'alignement des dépendances.</w:t>
      </w:r>
    </w:p>
    <w:p>
      <w:pPr>
        <w:pStyle w:val="Heading2"/>
      </w:pPr>
      <w:r>
        <w:t xml:space="preserve">2. Hachage des clés API des agents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Les clés API des agents (User.api_key) étaient stockées et comparées en clair en base de données.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On applique aux clés le même principe que les mots de passe (hachage bcrypt via le module security existant), avec rétrocompatibilité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À la création et à la rotation : la clé est hachée avant stockage ; la clé en clair n'est renvoyée qu'une seule fois.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À l'authentification : on parcourt les agents actifs et on compare par verify_password ; une clé legacy en clair est acceptée puis immédiatement re-hachée (migration douce).</w:t>
      </w:r>
    </w:p>
    <w:p>
      <w:pPr>
        <w:pBdr>
          <w:left w:val="single" w:color="BBBBBB" w:sz="12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if stored_key.startswith("$2"):                 # hash bcrypt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security.verify_password(x_api_key, stored_key): ...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else:                                           # ancienne clé en clair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stored_key == x_api_key: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user.api_key = security.get_password_hash(x_api_key)  # migration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db.commit()</w:t>
      </w:r>
    </w:p>
    <w:p>
      <w:pPr>
        <w:spacing w:after="120"/>
      </w:pPr>
      <w:r>
        <w:rPr>
          <w:b/>
          <w:bCs/>
        </w:rPr>
        <w:t xml:space="preserve">Vérification. </w:t>
      </w:r>
      <w:r>
        <w:t xml:space="preserve">Tests d'authentification correcte, de rejet d'une mauvaise clé, et de migration d'une clé legacy.</w:t>
      </w:r>
    </w:p>
    <w:p>
      <w:pPr>
        <w:pStyle w:val="Heading2"/>
      </w:pPr>
      <w:r>
        <w:t xml:space="preserve">3. Rollback gouverné exposé à l'agent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La fonction d'annulation de vente par compensation (reverse_sale) existait mais n'était accessible par aucun agent.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On réutilise le motif « proposition + validation humaine » déjà en place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Schéma de proposition et route POST /api/agent/proposals/reverse (scope reverse:propose, niveau PROPOSE) : l'agent crée une proposition, il n'exécute jamais l'annulation.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Branche REVERSE dans le gestionnaire d'approbation : à la validation, reverse_sale est appelée sous l'identité de l'administrateur, avec le correlation_id de la proposition.</w:t>
      </w:r>
    </w:p>
    <w:p>
      <w:pPr>
        <w:spacing w:after="120"/>
      </w:pPr>
      <w:r>
        <w:rPr>
          <w:b/>
          <w:bCs/>
        </w:rPr>
        <w:t xml:space="preserve">Vérification. </w:t>
      </w:r>
      <w:r>
        <w:t xml:space="preserve">Création, approbation (vente annulée + stock réintégré), double annulation rejetée, refus si scope manquant.</w:t>
      </w:r>
    </w:p>
    <w:p>
      <w:pPr>
        <w:pStyle w:val="Heading2"/>
      </w:pPr>
      <w:r>
        <w:t xml:space="preserve">4. Finalisation des propositions de transfert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Le gestionnaire d'approbation ne traitait que le réapprovisionnement ; une proposition de transfert levait « type non supporté ».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On ajoute la branche manquante en réutilisant la logique de transfert existante (aucune duplication) : create_transfer_request, puis approve (débit source), puis confirm (crédit destination), sous l'identité de l'admin.</w:t>
      </w:r>
    </w:p>
    <w:p>
      <w:pPr>
        <w:spacing w:after="120"/>
      </w:pPr>
      <w:r>
        <w:rPr>
          <w:b/>
          <w:bCs/>
        </w:rPr>
        <w:t xml:space="preserve">Vérification. </w:t>
      </w:r>
      <w:r>
        <w:t xml:space="preserve">Stock source décrémenté, destination incrémentée, refus si scope manquant.</w:t>
      </w:r>
    </w:p>
    <w:p>
      <w:pPr>
        <w:pStyle w:val="Heading2"/>
      </w:pPr>
      <w:r>
        <w:t xml:space="preserve">5. Extension de la couche d'outils MCP (de 3 à 9)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Seuls 3 outils existaient ; le rapport en recommandait environ 13 à 16.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Chaque outil est un wrapper fin au-dessus de la logique déjà présente, ajouté selon un motif identique : une route /api/agent/* (scope + niveau d'autonomie adaptés), un outil MCP renvoyant du JSON structuré, et une trace d'audit.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9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Outil ajouté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9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9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S'appuie sur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get_inventory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/api/agent/inventory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repository.get_products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get_stock_valuation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/api/agent/valuation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stock.stock_value_at_cost (WAC)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get_reorder_suggestions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/api/agent/reorder-suggestions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stock.economic_order_quantity (EOQ)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get_expiring_lots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/api/agent/expiring-lots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stock.expiring_lots (FEFO)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list_my_proposals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/api/agent/proposals/mine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repository.get_agent_proposals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get_my_capabilities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/api/agent/capabilities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agent_policy.parse_scopes</w:t>
            </w:r>
          </w:p>
        </w:tc>
      </w:tr>
    </w:tbl>
    <w:p>
      <w:pPr>
        <w:spacing w:before="120"/>
      </w:pPr>
      <w:r>
        <w:rPr>
          <w:b/>
          <w:bCs/>
        </w:rPr>
        <w:t xml:space="preserve">Points de méthode importants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Aucune donnée inventée (get_reorder_suggestions) : les hypothèses de l'EOQ sont externalisées dans config.py et renvoyées dans la réponse ; si la demande ou le coût sont nuls, l'outil renvoie null + une raison, jamais un chiffre fabriqué.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Isolation par agent (list_my_proposals) : ajout d'un paramètre optionnel agent_id (rétrocompatible) pour qu'un agent ne voie que ses propres propositions.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Auto-introspection sans scope (get_my_capabilities) : protégée par get_current_agent seulement, pour qu'un agent puisse toujours lire ses propres droits.</w:t>
      </w:r>
    </w:p>
    <w:p>
      <w:pPr>
        <w:spacing w:after="120"/>
      </w:pPr>
      <w:r>
        <w:rPr>
          <w:b/>
          <w:bCs/>
        </w:rPr>
        <w:t xml:space="preserve">Vérification. </w:t>
      </w:r>
      <w:r>
        <w:t xml:space="preserve">19 tests dédiés (un fichier par outil).</w:t>
      </w:r>
    </w:p>
    <w:p>
      <w:pPr>
        <w:pStyle w:val="Heading2"/>
      </w:pPr>
      <w:r>
        <w:t xml:space="preserve">6. Cycle de vie complet du bon de commande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Le bon de commande n'était qu'une impression HTML ; le prix d'achat n'était jamais capté, faussant les marges et la valorisation.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On modélise le cycle DRAFT → SENT → RECEIVED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Fonctions repository create/send/receive/cancel/get. À la réception, on réutilise restock_product pour chaque ligne, ce qui alimente le coût moyen pondéré (WAC) à partir du prix d'achat.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Routeur purchase_orders.py (6 endpoints REST humains, RBAC admin), monté dans main.py, chaque transition tracée dans l'audit.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Consolidation des modèles/schemas PurchaseOrder (une seule définition, ajout de creator_id / created_at).</w:t>
      </w:r>
    </w:p>
    <w:p>
      <w:pPr>
        <w:pBdr>
          <w:left w:val="single" w:color="BBBBBB" w:sz="12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for item in po.items: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restock_product(db, product_id=item.product_id, branch_id=po.branch_id,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quantity=item.quantity, unit_cost=item.unit_price, ...)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po.status = models.OrderStatus.RECEIVED.value</w:t>
      </w:r>
    </w:p>
    <w:p>
      <w:pPr>
        <w:spacing w:after="120"/>
      </w:pPr>
      <w:r>
        <w:rPr>
          <w:b/>
          <w:bCs/>
        </w:rPr>
        <w:t xml:space="preserve">Vérification. </w:t>
      </w:r>
      <w:r>
        <w:t xml:space="preserve">Cycle complet (stock augmenté ET WAC mis à jour), réception interdite depuis DRAFT, double réception rejetée.</w:t>
      </w:r>
    </w:p>
    <w:p>
      <w:pPr>
        <w:pStyle w:val="Heading2"/>
      </w:pPr>
      <w:r>
        <w:t xml:space="preserve">7. Renommage de l'interface assistant humaine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Les endpoints /api/mcp/chat et /api/mcp/analyze étaient des routes humaines mal nommées « MCP », brouillant la séparation des deux interfaces.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On renomme vers /api/assistant/* tout en garantissant la rétrocompatibilité par empilement de décorateurs sur la même fonction (aucune duplication), l'ancien chemin étant marqué deprecated. Les appels frontend sont migrés et le fichier dupliqué outil_test_mcp.html est supprimé.</w:t>
      </w:r>
    </w:p>
    <w:p>
      <w:pPr>
        <w:pBdr>
          <w:left w:val="single" w:color="BBBBBB" w:sz="12" w:space="6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@router.post("/api/assistant/chat")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@router.post("/api/mcp/chat", deprecated=True)   # alias rétrocompatible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async def mcp_sandbox_chat(...):</w:t>
      </w:r>
    </w:p>
    <w:p>
      <w:pPr>
        <w:spacing w:after="120"/>
      </w:pPr>
      <w:r>
        <w:rPr>
          <w:b/>
          <w:bCs/>
        </w:rPr>
        <w:t xml:space="preserve">Vérification. </w:t>
      </w:r>
      <w:r>
        <w:t xml:space="preserve">Présence des nouveaux chemins, des alias, et même fonction cible pour les deux chemins.</w:t>
      </w:r>
    </w:p>
    <w:p>
      <w:r>
        <w:br w:type="page"/>
      </w:r>
    </w:p>
    <w:p>
      <w:pPr>
        <w:pStyle w:val="Heading1"/>
      </w:pPr>
      <w:r>
        <w:t xml:space="preserve">Partie B — Corrections et compléments fonctionnels (tests manuels)</w:t>
      </w:r>
    </w:p>
    <w:p>
      <w:pPr>
        <w:spacing w:after="120"/>
      </w:pPr>
      <w:r>
        <w:t xml:space="preserve">Anomalies détectées en testant l'application page par page, puis corrigées.</w:t>
      </w:r>
    </w:p>
    <w:p>
      <w:pPr>
        <w:pStyle w:val="Heading2"/>
      </w:pPr>
      <w:r>
        <w:t xml:space="preserve">8. Alignement du panneau « Accès Agent » sur le hachage des clés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Après le hachage des clés, la page settings.html affichait « undefined » à la place des clés (le backend ne renvoie plus la clé en clair), et la clé nouvellement générée n'était jamais montrée.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Correction côté frontend uniquement, pour consommer les champs déjà exposés par le backend : la liste affiche désormais l'indicateur masqué (api_key_masked) + le niveau d'autonomie et les scopes ; à la génération, la clé renvoyée une seule fois est affichée dans un bandeau dédié.</w:t>
      </w:r>
    </w:p>
    <w:p>
      <w:pPr>
        <w:pStyle w:val="Heading2"/>
      </w:pPr>
      <w:r>
        <w:t xml:space="preserve">9. Gestion des agents : révocation et rotation de clé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La liste des agents s'accumulait sans aucune action possible (ni révoquer, ni renouveler une clé).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On transforme la liste en panneau de gouvernance des accès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Backend : route DELETE /api/agents/{id} qui révoque un agent en le désactivant (is_active = False) — sa clé cesse immédiatement de fonctionner — sans supprimer la ligne (audit conservé), action auditée. La liste est filtrée sur les agents actifs. La rotation réutilise l'endpoint existant rotate-key.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 : boutons « Nouvelle clé » (rotation) et « Révoquer » par agent ; le formulaire de génération est enrichi d'un choix de niveau d'autonomie et de scopes, indispensable pour produire une clé exploitable par les outils MCP.</w:t>
      </w:r>
    </w:p>
    <w:p>
      <w:pPr>
        <w:pStyle w:val="Heading2"/>
      </w:pPr>
      <w:r>
        <w:t xml:space="preserve">10. Création de fournisseur (fonctionnalité absente)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Le bouton « Nouveau Fournisseur » n'avait aucun gestionnaire, et il n'existait aucune route backend pour créer un fournisseur (seulement la lecture).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Backend : fonction repository.create_supplier + route POST /api/suppliers (validée par le schéma existant). Frontend : gestionnaire sur le bouton, modal de saisie (nom, contact, email, téléphone, adresse) au style cohérent, et fonctions d'ouverture/fermeture/soumission qui POSTent puis rechargent la liste.</w:t>
      </w:r>
    </w:p>
    <w:p>
      <w:pPr>
        <w:pStyle w:val="Heading2"/>
      </w:pPr>
      <w:r>
        <w:t xml:space="preserve">11. Export Excel réel du rapport de performance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Le bouton « Exporter Excel » était un faux : il affichait une alerte sans produire de fichier.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Sans nouvelle dépendance, on génère un CSV compatible Excel en réutilisant le motif d'export existant : route GET /api/reports/export écrivant, par produit, stock total, point de commande, prix de vente, coût (WAC) et valeur du stock ; on ajoute un BOM UTF-8 (accents corrects) et le séparateur point-virgule (attendu par Excel FR). Le frontend récupère le fichier en blob et déclenche un vrai téléchargement.</w:t>
      </w:r>
    </w:p>
    <w:p>
      <w:pPr>
        <w:spacing w:after="120"/>
      </w:pPr>
      <w:r>
        <w:t xml:space="preserve">Le bouton « Exporter en PDF » voisin fonctionnait déjà (il utilise l'impression du navigateur → « Enregistrer au format PDF »).</w:t>
      </w:r>
    </w:p>
    <w:p>
      <w:pPr>
        <w:pStyle w:val="Heading2"/>
      </w:pPr>
      <w:r>
        <w:t xml:space="preserve">12. Lisibilité dans Excel de l'export des logs d'audit</w:t>
      </w:r>
    </w:p>
    <w:p>
      <w:pPr>
        <w:spacing w:after="120"/>
      </w:pPr>
      <w:r>
        <w:rPr>
          <w:b/>
          <w:bCs/>
        </w:rPr>
        <w:t xml:space="preserve">Problème. </w:t>
      </w:r>
      <w:r>
        <w:t xml:space="preserve">L'export des logs utilisait la virgule comme séparateur et pas de BOM : Excel mettait tout dans une seule colonne et cassait les accents.</w:t>
      </w:r>
    </w:p>
    <w:p>
      <w:pPr>
        <w:spacing w:after="120"/>
      </w:pPr>
      <w:r>
        <w:rPr>
          <w:b/>
          <w:bCs/>
        </w:rPr>
        <w:t xml:space="preserve">Comment c'est fait. </w:t>
      </w:r>
      <w:r>
        <w:t xml:space="preserve">On applique le même traitement qu'au point 11 : BOM UTF-8, séparateur point-virgule, et en-têtes en français. Les colonnes s'ouvrent alors proprement dans Excel.</w:t>
      </w:r>
    </w:p>
    <w:p>
      <w:r>
        <w:br w:type="page"/>
      </w:r>
    </w:p>
    <w:p>
      <w:pPr>
        <w:pStyle w:val="Heading1"/>
      </w:pPr>
      <w:r>
        <w:t xml:space="preserve">Récapitulatif de vérification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9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Contrôle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09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Compilation de tout le code Python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erreur de syntaxe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des modèles + configuration des mappers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du serveur MCP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— 9 outils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Démarrage de l'application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 et documentation servies (HTTP 200)</w:t>
            </w:r>
          </w:p>
        </w:tc>
      </w:tr>
      <w:tr>
        <w:trPr>
          <w:tblHeader w:val="false"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Suite de tests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 tests, 0 échec</w:t>
            </w:r>
          </w:p>
        </w:tc>
      </w:tr>
    </w:tbl>
    <w:p>
      <w:pPr>
        <w:spacing w:before="200"/>
      </w:pPr>
      <w:r>
        <w:t xml:space="preserve">Les trois axes du rapport sont traités : sécurité (secret externalisé, CORS, restore verrouillé, clés agents hachées, révocation) ; théorie de gestion de stock (source de vérité unique, point de commande, coût moyen pondéré, quantité économique de commande, FEFO, cycle complet du bon de commande, exports exploitables) ; plateforme agent-ready (deux interfaces distinctes, niveaux d'autonomie, scopes, audit chaîné infalsifiable, validation humaine, rollback gouverné, gestion des accès agents).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OMISTOCK — Rapport des modifications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7409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F2D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OMISTOCK — Rapport des modifications</dc:title>
  <dc:creator>OMISTOCK</dc:creator>
  <cp:lastModifiedBy>Un-named</cp:lastModifiedBy>
  <cp:revision>1</cp:revision>
  <dcterms:created xsi:type="dcterms:W3CDTF">2026-06-19T15:37:01.551Z</dcterms:created>
  <dcterms:modified xsi:type="dcterms:W3CDTF">2026-06-19T15:37:01.553Z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