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21"/>
        </w:rPr>
        <w:t>F</w:t>
      </w:r>
      <w:r>
        <w:rPr>
          <w:rFonts w:ascii="Arial" w:hAnsi="Arial" w:cs="Arial" w:eastAsia="Arial"/>
          <w:color w:val="252525"/>
          <w:sz w:val="21"/>
        </w:rPr>
        <w:t>or as long as I can remember, I have been captivated by the human body, not merely as a biological system, but as something closer to a wonder. I was fascinated by how the human body functions in perfect harmony from the cellular level all the way to the complicated systems. But what deepened my fascination was the realization that being a physician will enable me to intervene in these functions to save people who might be at their most vulnerable point in their lives. This realization that medicine is not simply the study of body mechanisms, but it is the practice of intervening in them to save lives ignited the ambition inside me to study Medicine. As the first step towards that goal, I specialized in the scientific stream in high school.</w:t>
      </w:r>
    </w:p>
    <w:p>
      <w:pPr>
        <w:spacing w:line="270" w:lineRule="auto" w:after="0" w:before="0"/>
        <w:ind w:right="0" w:left="0"/>
        <w:rPr>
          <w:rFonts w:ascii="Arial" w:hAnsi="Arial" w:cs="Arial"/>
          <w:sz w:val="21"/>
        </w:rPr>
      </w:pPr>
      <w:r/>
    </w:p>
    <w:p>
      <w:pPr>
        <w:spacing w:line="270" w:lineRule="auto" w:after="0" w:before="0"/>
        <w:ind w:right="0" w:left="0"/>
        <w:rPr>
          <w:rFonts w:ascii="Arial" w:hAnsi="Arial" w:cs="Arial"/>
          <w:sz w:val="21"/>
        </w:rPr>
      </w:pPr>
      <w:r/>
    </w:p>
    <w:p>
      <w:pPr>
        <w:spacing w:line="240" w:lineRule="auto" w:after="0" w:before="0"/>
        <w:ind w:right="0" w:left="0"/>
      </w:pPr>
      <w:r>
        <w:rPr>
          <w:rFonts w:ascii="Arial" w:hAnsi="Arial" w:cs="Arial" w:eastAsia="Arial"/>
          <w:color w:val="252525"/>
          <w:sz w:val="21"/>
        </w:rPr>
        <w:t>In high school, I took part in experiences that allowed me to better understand medicine. As a member of the school parliament, I helped students with personal and academic difficulties, which helped me become a better listener to others’ concerns and opinions. I was also a member of the Health Club, where I engaged in discussions and organized campaigns on health topics. This experience taught me how to educate others about health. Outside school, I joined the Mental Health and Resilience Initiative. This experience enhanced my understanding of the crucial connection between psychological and physical health. I also completed the two-year Access Microscholarship Program, where I developed skills in leadership, conflict resolution, and public speaking. Additionally, I participated in many activities and took every opportunity to take on responsibility within the program by coordinating community service projects and leading activities at ceremonies for all Access Program students from Gaza City and North Gaza.</w:t>
      </w:r>
    </w:p>
    <w:sectPr>
      <w:pgSz w:h="16840" w:w="11900"/>
      <w:pgMar>
        <w:pgMar w:top="0" w:right="375" w:bottom="270" w:left="375"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2026-05-06T21:37:38Z</dcterms:created>
  <dc:creator>Apache POI</dc:creator>
</cp:coreProperties>
</file>