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Pacientes — Áreas</w:t>
      </w:r>
    </w:p>
    <w:p>
      <w:r>
        <w:t>La filosofía del diseño arquitectónico y funcional de la Clínica está basada en la disposición de espacios amplios, confortables y adecuados para la prestación de cada servicio, con moderno equipamiento tecnológico y capacitación constante de los recursos humanos que la integran.</w:t>
      </w:r>
    </w:p>
    <w:p>
      <w:pPr>
        <w:pStyle w:val="Heading1"/>
      </w:pPr>
      <w:r>
        <w:t>Áreas y servicios</w:t>
      </w:r>
    </w:p>
    <w:p>
      <w:pPr>
        <w:pStyle w:val="ListBullet"/>
      </w:pPr>
      <w:r>
        <w:t>Admisión de pacientes</w:t>
      </w:r>
    </w:p>
    <w:p>
      <w:pPr>
        <w:pStyle w:val="ListBullet"/>
      </w:pPr>
      <w:r>
        <w:t>Emergencias y Urgencias</w:t>
      </w:r>
    </w:p>
    <w:p>
      <w:pPr>
        <w:pStyle w:val="ListBullet"/>
      </w:pPr>
      <w:r>
        <w:t>Servicio de diagnóstico por imágenes</w:t>
      </w:r>
    </w:p>
    <w:p>
      <w:pPr>
        <w:pStyle w:val="ListBullet"/>
      </w:pPr>
      <w:r>
        <w:t>Maternidad</w:t>
      </w:r>
    </w:p>
    <w:p>
      <w:pPr>
        <w:pStyle w:val="ListBullet"/>
      </w:pPr>
      <w:r>
        <w:t>Neonatología</w:t>
      </w:r>
    </w:p>
    <w:p>
      <w:pPr>
        <w:pStyle w:val="ListBullet"/>
      </w:pPr>
      <w:r>
        <w:t>Unidad de Salud Materno-Fetal</w:t>
      </w:r>
    </w:p>
    <w:p>
      <w:pPr>
        <w:pStyle w:val="ListBullet"/>
      </w:pPr>
      <w:r>
        <w:t>Unidad Pediátrica</w:t>
      </w:r>
    </w:p>
    <w:p>
      <w:pPr>
        <w:pStyle w:val="ListBullet"/>
      </w:pPr>
      <w:r>
        <w:t>Internación Clínica o Postquirúrgica de Adultos</w:t>
      </w:r>
    </w:p>
    <w:p>
      <w:pPr>
        <w:pStyle w:val="ListBullet"/>
      </w:pPr>
      <w:r>
        <w:t>Cirugía</w:t>
      </w:r>
    </w:p>
    <w:p>
      <w:pPr>
        <w:pStyle w:val="ListBullet"/>
      </w:pPr>
      <w:r>
        <w:t>Cuidados Intensivos</w:t>
      </w:r>
    </w:p>
    <w:p>
      <w:pPr>
        <w:pStyle w:val="ListBullet"/>
      </w:pPr>
      <w:r>
        <w:t>Intervencionismo Endovascular</w:t>
      </w:r>
    </w:p>
    <w:p>
      <w:pPr>
        <w:pStyle w:val="ListBullet"/>
      </w:pPr>
      <w:r>
        <w:t>Cirugía Ambulatoria</w:t>
      </w:r>
    </w:p>
    <w:p>
      <w:pPr>
        <w:pStyle w:val="ListBullet"/>
      </w:pPr>
      <w:r>
        <w:t>Capilla</w:t>
      </w:r>
    </w:p>
    <w:p>
      <w:pPr>
        <w:pStyle w:val="ListBullet"/>
      </w:pPr>
      <w:r>
        <w:t>Unidad de Cirugía Estética</w:t>
      </w:r>
    </w:p>
    <w:p>
      <w:pPr>
        <w:pStyle w:val="ListBullet"/>
      </w:pPr>
      <w:r>
        <w:t>Vacunatorio Previvax</w:t>
      </w:r>
    </w:p>
    <w:p>
      <w:pPr>
        <w:pStyle w:val="ListBullet"/>
      </w:pPr>
      <w:r>
        <w:t>Laboratorio Diagnóstico Maipú</w:t>
      </w:r>
    </w:p>
    <w:p>
      <w:pPr>
        <w:pStyle w:val="ListBullet"/>
      </w:pPr>
      <w:r>
        <w:t>Calidad y atención al paciente</w:t>
      </w:r>
    </w:p>
    <w:p>
      <w:pPr>
        <w:pStyle w:val="ListBullet"/>
      </w:pPr>
      <w:r>
        <w:t>Alegría intensiva</w:t>
      </w:r>
    </w:p>
    <w:p/>
    <w:p>
      <w:r>
        <w:rPr>
          <w:i/>
          <w:color w:val="808080"/>
          <w:sz w:val="16"/>
        </w:rPr>
        <w:t>Fuente: https://www.lodetincho.com.ar/lodetincho/pacientes-CBZ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