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impositivos</w:t>
      </w:r>
    </w:p>
    <w:p>
      <w:r>
        <w:t>Le informamos a continuación los datos y el encuadre impositivo de nuestra empresa:</w:t>
      </w:r>
    </w:p>
    <w:p>
      <w:r>
        <w:rPr>
          <w:b/>
        </w:rPr>
        <w:t xml:space="preserve">Razón Social: </w:t>
      </w:r>
      <w:r>
        <w:t>OMINT Sociedad Anónima de Servicios</w:t>
      </w:r>
    </w:p>
    <w:p>
      <w:r>
        <w:rPr>
          <w:b/>
        </w:rPr>
        <w:t xml:space="preserve">Domicilio fiscal: </w:t>
      </w:r>
      <w:r>
        <w:t>Carlos Pellegrini 1363 Piso 6 - Ciudad Autónoma de Buenos Aires</w:t>
      </w:r>
    </w:p>
    <w:p>
      <w:r>
        <w:rPr>
          <w:b/>
        </w:rPr>
        <w:t xml:space="preserve">CUIT: </w:t>
      </w:r>
      <w:r>
        <w:t>30-55024530-9</w:t>
      </w:r>
    </w:p>
    <w:p>
      <w:r>
        <w:rPr>
          <w:b/>
        </w:rPr>
        <w:t xml:space="preserve">Categoría frente al IVA: </w:t>
      </w:r>
      <w:r>
        <w:t>Responsable Inscripto</w:t>
      </w:r>
    </w:p>
    <w:p>
      <w:r>
        <w:rPr>
          <w:b/>
        </w:rPr>
        <w:t xml:space="preserve">Nro. IIBB: </w:t>
      </w:r>
      <w:r>
        <w:t>CM 901-917074-5 SICOM</w:t>
      </w:r>
    </w:p>
    <w:p>
      <w:r>
        <w:rPr>
          <w:b/>
        </w:rPr>
        <w:t xml:space="preserve">Actividad principal: </w:t>
      </w:r>
      <w:r>
        <w:t>Servicios de seguro de salud</w:t>
      </w:r>
    </w:p>
    <w:p>
      <w:pPr>
        <w:pStyle w:val="Heading1"/>
      </w:pPr>
      <w:r>
        <w:t>Encuadre impositivo — Impuestos Nacionales (Agente de Retención)</w:t>
      </w:r>
    </w:p>
    <w:p>
      <w:pPr>
        <w:pStyle w:val="ListBullet"/>
      </w:pPr>
      <w:r>
        <w:t>Retención Impuesto a las Ganancias — RG AFIP 830/00</w:t>
      </w:r>
    </w:p>
    <w:p>
      <w:pPr>
        <w:pStyle w:val="ListBullet"/>
      </w:pPr>
      <w:r>
        <w:t>SUSS Servicio de Limpieza — RG 1556/03</w:t>
      </w:r>
    </w:p>
    <w:p>
      <w:pPr>
        <w:pStyle w:val="ListBullet"/>
      </w:pPr>
      <w:r>
        <w:t>SUSS Seguridad y Vigilancia — RG AFIP 1769/04</w:t>
      </w:r>
    </w:p>
    <w:p>
      <w:pPr>
        <w:pStyle w:val="ListBullet"/>
      </w:pPr>
      <w:r>
        <w:t>SUSS Servicios Eventuales — RG AFIP 3983/95</w:t>
      </w:r>
    </w:p>
    <w:p>
      <w:pPr>
        <w:pStyle w:val="ListBullet"/>
      </w:pPr>
      <w:r>
        <w:t>SUSS Obras Ingeniería y Arq. — RG AFIP 2682/09</w:t>
      </w:r>
    </w:p>
    <w:p>
      <w:pPr>
        <w:pStyle w:val="Heading1"/>
      </w:pPr>
      <w:r>
        <w:t>Impuestos Provinciales (IIBB — Retención / Percepción)</w:t>
      </w:r>
    </w:p>
    <w:p>
      <w:pPr>
        <w:pStyle w:val="ListBullet"/>
      </w:pPr>
      <w:r>
        <w:t>IIBB CABA — RES (AGIP) 939/13 (retención y percepción)</w:t>
      </w:r>
    </w:p>
    <w:p>
      <w:pPr>
        <w:pStyle w:val="ListBullet"/>
      </w:pPr>
      <w:r>
        <w:t>IIBB Pcia. Bs. As. — DN "B" (DPR BSAS) 1/2004 (retención y percepción)</w:t>
      </w:r>
    </w:p>
    <w:p>
      <w:pPr>
        <w:pStyle w:val="ListBullet"/>
      </w:pPr>
      <w:r>
        <w:t>IIBB Mendoza — R.G. (ATM) 19/12 (ret.) / R.G. (ATM) 30/99 (perc.)</w:t>
      </w:r>
    </w:p>
    <w:p>
      <w:pPr>
        <w:pStyle w:val="ListBullet"/>
      </w:pPr>
      <w:r>
        <w:t>IIBB San Luis — RG 6/2010 (ret.) / RG 39/2020 (perc.)</w:t>
      </w:r>
    </w:p>
    <w:p>
      <w:pPr>
        <w:pStyle w:val="ListBullet"/>
      </w:pPr>
      <w:r>
        <w:t>IIBB Santa Fe — RG (API) 15/97 y 18/2014 (retención y percepción)</w:t>
      </w:r>
    </w:p>
    <w:p>
      <w:pPr>
        <w:pStyle w:val="ListBullet"/>
      </w:pPr>
      <w:r>
        <w:t>IIBB Tucumán — RG (DGR) 23/2002 (ret.) / RG 02/2023 (perc.)</w:t>
      </w:r>
    </w:p>
    <w:p>
      <w:pPr>
        <w:pStyle w:val="ListBullet"/>
      </w:pPr>
      <w:r>
        <w:t>IIBB San Juan — RG (DGR) 246/2023 (ret.) / RG 925/2010 (perc.)</w:t>
      </w:r>
    </w:p>
    <w:p>
      <w:pPr>
        <w:pStyle w:val="ListBullet"/>
      </w:pPr>
      <w:r>
        <w:t>IIBB Salta — RG 08/2003 (ret.)</w:t>
      </w:r>
    </w:p>
    <w:p>
      <w:pPr>
        <w:pStyle w:val="ListBullet"/>
      </w:pPr>
      <w:r>
        <w:t>IIBB Río Negro — RG 104/2003 (ret.)</w:t>
      </w:r>
    </w:p>
    <w:p>
      <w:pPr>
        <w:pStyle w:val="ListBullet"/>
      </w:pPr>
      <w:r>
        <w:t>IIBB Córdoba — Dec. 443/2004 (ret.)</w:t>
      </w:r>
    </w:p>
    <w:p>
      <w:pPr>
        <w:pStyle w:val="ListBullet"/>
      </w:pPr>
      <w:r>
        <w:t>IIBB Entre Ríos — R. (DGR) 573/2005 (ret.) / RG (ATER) 17/2020 (perc.)</w:t>
      </w:r>
    </w:p>
    <w:p>
      <w:pPr>
        <w:pStyle w:val="ListBullet"/>
      </w:pPr>
      <w:r>
        <w:t>IIBB Misiones — R.G. (DGR) 3/1993 (retención y percepción)</w:t>
      </w:r>
    </w:p>
    <w:p>
      <w:pPr>
        <w:pStyle w:val="ListBullet"/>
      </w:pPr>
      <w:r>
        <w:t>IIBB La Rioja — RG 1/2011 (ret.)</w:t>
      </w:r>
    </w:p>
    <w:p>
      <w:pPr>
        <w:pStyle w:val="ListBullet"/>
      </w:pPr>
      <w:r>
        <w:t>IIBB Corrientes — RG. (DGR) 192/2019 (ret.)</w:t>
      </w:r>
    </w:p>
    <w:p>
      <w:pPr>
        <w:pStyle w:val="ListBullet"/>
      </w:pPr>
      <w:r>
        <w:t>IIBB Jujuy — RG N° 1510/2018 (ret.)</w:t>
      </w:r>
    </w:p>
    <w:p>
      <w:pPr>
        <w:pStyle w:val="ListBullet"/>
      </w:pPr>
      <w:r>
        <w:t>IIBB Neuquén — RG N° 01/2022 (ret.)</w:t>
      </w:r>
    </w:p>
    <w:p>
      <w:pPr>
        <w:pStyle w:val="Heading1"/>
      </w:pPr>
      <w:r>
        <w:t>Impuestos Municipales</w:t>
      </w:r>
    </w:p>
    <w:p>
      <w:pPr>
        <w:pStyle w:val="ListBullet"/>
      </w:pPr>
      <w:r>
        <w:t>IIBB Municipalidad de Madryn (Chubut) — RES 2012/12 SH (ret.)</w:t>
      </w:r>
    </w:p>
    <w:p>
      <w:pPr>
        <w:pStyle w:val="ListBullet"/>
      </w:pPr>
      <w:r>
        <w:t>IIBB Municipalidad de Córdoba — Res. (S.E.y F.) 240/2003 (ret.)</w:t>
      </w:r>
    </w:p>
    <w:p>
      <w:pPr>
        <w:pStyle w:val="ListBullet"/>
      </w:pPr>
      <w:r>
        <w:t>IIBB Municipalidad de Tucumán (TEM) — Res. Gral 015/2016 (ret.)</w:t>
      </w:r>
    </w:p>
    <w:p>
      <w:r>
        <w:t>Nota: el sitio incluye además un cuadro resumen detallado de regímenes de retención y percepción por jurisdicción, con sus condiciones de sujeto pasible y certificados de no retención/percepción vigentes. Para el detalle completo y las constancias, consultar la fuente.</w:t>
      </w:r>
    </w:p>
    <w:p/>
    <w:p>
      <w:r>
        <w:rPr>
          <w:i/>
          <w:color w:val="808080"/>
          <w:sz w:val="16"/>
        </w:rPr>
        <w:t>Fuente: https://www.lodetincho.com.ar/lodetincho/datos-impositivos-cbz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