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46E7" w14:textId="77777777" w:rsidR="00645D4F" w:rsidRDefault="00000000">
      <w:r>
        <w:rPr>
          <w:b/>
          <w:bCs/>
          <w:color w:val="556172"/>
          <w:sz w:val="16"/>
          <w:szCs w:val="16"/>
        </w:rPr>
        <w:t>POC VÉRIFICATION DES ATTESTATIONS · ELOGIE-SIEMP · BLOCS 5-6</w:t>
      </w:r>
    </w:p>
    <w:p w14:paraId="594701A1" w14:textId="77777777" w:rsidR="00645D4F" w:rsidRDefault="00000000">
      <w:pPr>
        <w:pStyle w:val="Titre"/>
      </w:pPr>
      <w:r>
        <w:t>Grille de conformité des attestations d'assurance</w:t>
      </w:r>
    </w:p>
    <w:p w14:paraId="1416650B" w14:textId="77777777" w:rsidR="00645D4F" w:rsidRDefault="00000000">
      <w:pPr>
        <w:pBdr>
          <w:bottom w:val="single" w:sz="12" w:space="6" w:color="1C2430"/>
        </w:pBdr>
        <w:spacing w:after="240"/>
      </w:pPr>
      <w:r>
        <w:rPr>
          <w:color w:val="556172"/>
        </w:rPr>
        <w:t xml:space="preserve">Règles déterministes appliquées par </w:t>
      </w:r>
      <w:r>
        <w:rPr>
          <w:rFonts w:ascii="Consolas" w:eastAsia="Consolas" w:hAnsi="Consolas" w:cs="Consolas"/>
          <w:color w:val="1F5F8B"/>
        </w:rPr>
        <w:t>src/rules.py</w:t>
      </w:r>
      <w:r>
        <w:rPr>
          <w:color w:val="556172"/>
        </w:rPr>
        <w:t xml:space="preserve"> pour rendre un verdict sur chaque attestation déposée. Version du 16 octobre 2026.</w:t>
      </w:r>
    </w:p>
    <w:p w14:paraId="3A2F0B86" w14:textId="77777777" w:rsidR="00645D4F" w:rsidRDefault="00000000">
      <w:pPr>
        <w:pStyle w:val="Titre1"/>
      </w:pPr>
      <w:r>
        <w:t>Rôle</w:t>
      </w:r>
    </w:p>
    <w:p w14:paraId="39D9D3D2" w14:textId="77777777" w:rsidR="00645D4F" w:rsidRDefault="00000000">
      <w:pPr>
        <w:spacing w:after="120"/>
      </w:pPr>
      <w:r>
        <w:t xml:space="preserve">Le module reçoit les 9 champs lus par l'IA, la référence de l'entrepôt (titulaires et adresse du logement, table </w:t>
      </w:r>
      <w:r>
        <w:rPr>
          <w:rFonts w:ascii="Consolas" w:eastAsia="Consolas" w:hAnsi="Consolas" w:cs="Consolas"/>
          <w:color w:val="1F5F8B"/>
        </w:rPr>
        <w:t>TH_LOCATAIRE</w:t>
      </w:r>
      <w:r>
        <w:t xml:space="preserve">) et le déclaratif saisi sur l'extranet. Il rend un </w:t>
      </w:r>
      <w:r>
        <w:rPr>
          <w:b/>
          <w:bCs/>
        </w:rPr>
        <w:t>verdict</w:t>
      </w:r>
      <w:r>
        <w:t xml:space="preserve">, un </w:t>
      </w:r>
      <w:r>
        <w:rPr>
          <w:b/>
          <w:bCs/>
        </w:rPr>
        <w:t>motif</w:t>
      </w:r>
      <w:r>
        <w:t xml:space="preserve"> et le détail de chaque contrôle.</w:t>
      </w:r>
    </w:p>
    <w:p w14:paraId="749FE558" w14:textId="77777777" w:rsidR="00645D4F" w:rsidRDefault="00000000">
      <w:pPr>
        <w:spacing w:after="120"/>
      </w:pPr>
      <w:r>
        <w:rPr>
          <w:b/>
          <w:bCs/>
        </w:rPr>
        <w:t>L'IA lit, les règles décident.</w:t>
      </w:r>
      <w:r>
        <w:t xml:space="preserve"> Aucune décision n'est prise par le modèle de langage. Toutes les règles sont fixes, auditables et réglables dans </w:t>
      </w:r>
      <w:r>
        <w:rPr>
          <w:rFonts w:ascii="Consolas" w:eastAsia="Consolas" w:hAnsi="Consolas" w:cs="Consolas"/>
          <w:color w:val="1F5F8B"/>
        </w:rPr>
        <w:t>config/</w:t>
      </w:r>
      <w:r>
        <w:t>.</w:t>
      </w:r>
    </w:p>
    <w:p w14:paraId="352E5ACE" w14:textId="77777777" w:rsidR="00645D4F" w:rsidRDefault="00000000">
      <w:pPr>
        <w:pStyle w:val="Titre1"/>
      </w:pPr>
      <w:r>
        <w:t>Principe commun à tous les champs</w:t>
      </w:r>
    </w:p>
    <w:p w14:paraId="4E5E51CC" w14:textId="77777777" w:rsidR="00645D4F" w:rsidRDefault="00000000">
      <w:pPr>
        <w:spacing w:after="120"/>
      </w:pPr>
      <w:r>
        <w:t>Chaque champ lu porte un statut. Le statut est examiné avant la valeur.</w:t>
      </w:r>
    </w:p>
    <w:tbl>
      <w:tblPr>
        <w:tblW w:w="9638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45D4F" w14:paraId="62FB75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8EC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4EB75" w14:textId="77777777" w:rsidR="00645D4F" w:rsidRDefault="00000000">
            <w:r>
              <w:rPr>
                <w:b/>
                <w:bCs/>
                <w:color w:val="556172"/>
                <w:sz w:val="18"/>
                <w:szCs w:val="18"/>
              </w:rPr>
              <w:t>Statut du champ lu</w:t>
            </w:r>
          </w:p>
        </w:tc>
        <w:tc>
          <w:tcPr>
            <w:tcW w:w="703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8EC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9B402" w14:textId="77777777" w:rsidR="00645D4F" w:rsidRDefault="00000000">
            <w:r>
              <w:rPr>
                <w:b/>
                <w:bCs/>
                <w:color w:val="556172"/>
                <w:sz w:val="18"/>
                <w:szCs w:val="18"/>
              </w:rPr>
              <w:t>Traitement</w:t>
            </w:r>
          </w:p>
        </w:tc>
      </w:tr>
      <w:tr w:rsidR="00645D4F" w14:paraId="32AFCF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DB26D" w14:textId="77777777" w:rsidR="00645D4F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5F8B"/>
                <w:sz w:val="19"/>
                <w:szCs w:val="19"/>
              </w:rPr>
              <w:t>trouve</w:t>
            </w:r>
            <w:proofErr w:type="gramEnd"/>
          </w:p>
        </w:tc>
        <w:tc>
          <w:tcPr>
            <w:tcW w:w="703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2FE3A" w14:textId="77777777" w:rsidR="00645D4F" w:rsidRDefault="00000000">
            <w:r>
              <w:rPr>
                <w:sz w:val="19"/>
                <w:szCs w:val="19"/>
              </w:rPr>
              <w:t>La règle du champ s'applique.</w:t>
            </w:r>
          </w:p>
        </w:tc>
      </w:tr>
      <w:tr w:rsidR="00645D4F" w14:paraId="1CB0F5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60E21" w14:textId="77777777" w:rsidR="00645D4F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5F8B"/>
                <w:sz w:val="19"/>
                <w:szCs w:val="19"/>
              </w:rPr>
              <w:t>ambigu</w:t>
            </w:r>
            <w:proofErr w:type="gramEnd"/>
          </w:p>
        </w:tc>
        <w:tc>
          <w:tcPr>
            <w:tcW w:w="703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8CE58" w14:textId="77777777" w:rsidR="00645D4F" w:rsidRDefault="00000000">
            <w:r>
              <w:rPr>
                <w:b/>
                <w:bCs/>
                <w:sz w:val="19"/>
                <w:szCs w:val="19"/>
              </w:rPr>
              <w:t>Douteux</w:t>
            </w:r>
            <w:r>
              <w:rPr>
                <w:sz w:val="19"/>
                <w:szCs w:val="19"/>
              </w:rPr>
              <w:t xml:space="preserve"> : on ne valide jamais une lecture incertaine.</w:t>
            </w:r>
          </w:p>
        </w:tc>
      </w:tr>
      <w:tr w:rsidR="00645D4F" w14:paraId="72A63C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FD4C1" w14:textId="77777777" w:rsidR="00645D4F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5F8B"/>
                <w:sz w:val="19"/>
                <w:szCs w:val="19"/>
              </w:rPr>
              <w:t>absent</w:t>
            </w:r>
            <w:proofErr w:type="gramEnd"/>
          </w:p>
        </w:tc>
        <w:tc>
          <w:tcPr>
            <w:tcW w:w="703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1D006" w14:textId="77777777" w:rsidR="00645D4F" w:rsidRDefault="00000000">
            <w:r>
              <w:rPr>
                <w:sz w:val="19"/>
                <w:szCs w:val="19"/>
              </w:rPr>
              <w:t>Selon le champ (voir les tableaux). Le document a été lu, l'absence est donc avérée.</w:t>
            </w:r>
          </w:p>
        </w:tc>
      </w:tr>
    </w:tbl>
    <w:p w14:paraId="6E78C298" w14:textId="77777777" w:rsidR="00645D4F" w:rsidRDefault="00000000">
      <w:pPr>
        <w:pStyle w:val="Titre1"/>
      </w:pPr>
      <w:r>
        <w:t>Arbre de décision</w:t>
      </w:r>
    </w:p>
    <w:p w14:paraId="29CE2DF1" w14:textId="77777777" w:rsidR="00645D4F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Le document est illisible (page blanche, charabia, OCR peu fiable) → </w:t>
      </w:r>
      <w:r>
        <w:rPr>
          <w:b/>
          <w:bCs/>
        </w:rPr>
        <w:t>douteux</w:t>
      </w:r>
      <w:r>
        <w:t>, arrêt.</w:t>
      </w:r>
    </w:p>
    <w:p w14:paraId="65C53F9B" w14:textId="77777777" w:rsidR="00645D4F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Le document n'est pas une attestation (avis d'échéance, facture…) → </w:t>
      </w:r>
      <w:r>
        <w:rPr>
          <w:b/>
          <w:bCs/>
        </w:rPr>
        <w:t>non conforme</w:t>
      </w:r>
      <w:r>
        <w:t>, arrêt.</w:t>
      </w:r>
    </w:p>
    <w:p w14:paraId="5B25FAF8" w14:textId="77777777" w:rsidR="00645D4F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Sinon, </w:t>
      </w:r>
      <w:r>
        <w:rPr>
          <w:b/>
          <w:bCs/>
        </w:rPr>
        <w:t>tous</w:t>
      </w:r>
      <w:r>
        <w:t xml:space="preserve"> les contrôles ci-dessous sont évalués et le plus grave l'emporte : non conforme, puis douteux, puis conforme.</w:t>
      </w:r>
    </w:p>
    <w:p w14:paraId="5B19D7E1" w14:textId="77777777" w:rsidR="00645D4F" w:rsidRDefault="00000000">
      <w:pPr>
        <w:pStyle w:val="Paragraphedeliste"/>
        <w:numPr>
          <w:ilvl w:val="0"/>
          <w:numId w:val="2"/>
        </w:numPr>
        <w:spacing w:after="100"/>
      </w:pPr>
      <w:r>
        <w:t>Le motif liste tous les contrôles en échec, du plus grave au moins grave. Il ne contient ni nom, ni adresse, ni n° de police.</w:t>
      </w:r>
    </w:p>
    <w:p w14:paraId="097BC023" w14:textId="77777777" w:rsidR="00645D4F" w:rsidRDefault="00000000">
      <w:pPr>
        <w:pStyle w:val="Titre1"/>
      </w:pPr>
      <w:r>
        <w:t>Bloc A : conformité du document</w:t>
      </w:r>
    </w:p>
    <w:tbl>
      <w:tblPr>
        <w:tblW w:w="9638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088"/>
        <w:gridCol w:w="2000"/>
        <w:gridCol w:w="2300"/>
        <w:gridCol w:w="2000"/>
      </w:tblGrid>
      <w:tr w:rsidR="00645D4F" w14:paraId="30C3A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8EC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6B9AE" w14:textId="77777777" w:rsidR="00645D4F" w:rsidRDefault="00000000">
            <w:r>
              <w:rPr>
                <w:b/>
                <w:bCs/>
                <w:color w:val="556172"/>
                <w:sz w:val="18"/>
                <w:szCs w:val="18"/>
              </w:rPr>
              <w:t>Règle</w:t>
            </w:r>
          </w:p>
        </w:tc>
        <w:tc>
          <w:tcPr>
            <w:tcW w:w="208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8EC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E468B" w14:textId="77777777" w:rsidR="00645D4F" w:rsidRDefault="00000000">
            <w:r>
              <w:rPr>
                <w:b/>
                <w:bCs/>
                <w:color w:val="556172"/>
                <w:sz w:val="18"/>
                <w:szCs w:val="18"/>
              </w:rPr>
              <w:t>Contrôle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4FF90" w14:textId="77777777" w:rsidR="00645D4F" w:rsidRDefault="00000000">
            <w:r>
              <w:rPr>
                <w:b/>
                <w:bCs/>
                <w:color w:val="1D7A4A"/>
                <w:sz w:val="18"/>
                <w:szCs w:val="18"/>
              </w:rPr>
              <w:t>OK</w:t>
            </w:r>
          </w:p>
        </w:tc>
        <w:tc>
          <w:tcPr>
            <w:tcW w:w="23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D1294" w14:textId="77777777" w:rsidR="00645D4F" w:rsidRDefault="00000000">
            <w:r>
              <w:rPr>
                <w:b/>
                <w:bCs/>
                <w:color w:val="9A6200"/>
                <w:sz w:val="18"/>
                <w:szCs w:val="18"/>
              </w:rPr>
              <w:t>Douteux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E7463" w14:textId="77777777" w:rsidR="00645D4F" w:rsidRDefault="00000000">
            <w:r>
              <w:rPr>
                <w:b/>
                <w:bCs/>
                <w:color w:val="B3261E"/>
                <w:sz w:val="18"/>
                <w:szCs w:val="18"/>
              </w:rPr>
              <w:t>Non conforme</w:t>
            </w:r>
          </w:p>
        </w:tc>
      </w:tr>
      <w:tr w:rsidR="00645D4F" w14:paraId="185F843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3FD37" w14:textId="77777777" w:rsidR="00645D4F" w:rsidRDefault="00000000">
            <w:r>
              <w:rPr>
                <w:b/>
                <w:bCs/>
                <w:sz w:val="19"/>
                <w:szCs w:val="19"/>
              </w:rPr>
              <w:t>A.1 Nature</w:t>
            </w:r>
          </w:p>
        </w:tc>
        <w:tc>
          <w:tcPr>
            <w:tcW w:w="208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5FC8D" w14:textId="77777777" w:rsidR="00645D4F" w:rsidRDefault="00000000">
            <w:r>
              <w:rPr>
                <w:sz w:val="19"/>
                <w:szCs w:val="19"/>
              </w:rPr>
              <w:t>Type de document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67156" w14:textId="77777777" w:rsidR="00645D4F" w:rsidRDefault="00000000">
            <w:r>
              <w:rPr>
                <w:sz w:val="19"/>
                <w:szCs w:val="19"/>
              </w:rPr>
              <w:t>Attestation habitation</w:t>
            </w:r>
          </w:p>
        </w:tc>
        <w:tc>
          <w:tcPr>
            <w:tcW w:w="23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6A7FC" w14:textId="77777777" w:rsidR="00645D4F" w:rsidRDefault="00000000">
            <w:r>
              <w:rPr>
                <w:sz w:val="19"/>
                <w:szCs w:val="19"/>
              </w:rPr>
              <w:t>Type incertain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77425" w14:textId="77777777" w:rsidR="00645D4F" w:rsidRDefault="00000000">
            <w:r>
              <w:rPr>
                <w:sz w:val="19"/>
                <w:szCs w:val="19"/>
              </w:rPr>
              <w:t>Autre document</w:t>
            </w:r>
          </w:p>
        </w:tc>
      </w:tr>
      <w:tr w:rsidR="00645D4F" w14:paraId="2D96E5C6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EE9A0" w14:textId="77777777" w:rsidR="00645D4F" w:rsidRDefault="00000000">
            <w:r>
              <w:rPr>
                <w:b/>
                <w:bCs/>
                <w:sz w:val="19"/>
                <w:szCs w:val="19"/>
              </w:rPr>
              <w:t>A.4 Validité</w:t>
            </w:r>
          </w:p>
        </w:tc>
        <w:tc>
          <w:tcPr>
            <w:tcW w:w="208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55DD8" w14:textId="77777777" w:rsidR="00645D4F" w:rsidRDefault="00000000">
            <w:r>
              <w:rPr>
                <w:sz w:val="19"/>
                <w:szCs w:val="19"/>
              </w:rPr>
              <w:t>Date de fin ≥ date de référence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DDC39" w14:textId="77777777" w:rsidR="00645D4F" w:rsidRDefault="00000000">
            <w:r>
              <w:rPr>
                <w:sz w:val="19"/>
                <w:szCs w:val="19"/>
              </w:rPr>
              <w:t>Attestation valable</w:t>
            </w:r>
          </w:p>
        </w:tc>
        <w:tc>
          <w:tcPr>
            <w:tcW w:w="23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62563" w14:textId="77777777" w:rsidR="00645D4F" w:rsidRDefault="00000000">
            <w:r>
              <w:rPr>
                <w:sz w:val="19"/>
                <w:szCs w:val="19"/>
              </w:rPr>
              <w:t>Fin absente ou incertaine ; début dans le futur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52705" w14:textId="77777777" w:rsidR="00645D4F" w:rsidRDefault="00000000">
            <w:r>
              <w:rPr>
                <w:sz w:val="19"/>
                <w:szCs w:val="19"/>
              </w:rPr>
              <w:t>Attestation expirée</w:t>
            </w:r>
          </w:p>
        </w:tc>
      </w:tr>
      <w:tr w:rsidR="00645D4F" w14:paraId="74D6C3D3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9B99F" w14:textId="77777777" w:rsidR="00645D4F" w:rsidRDefault="00000000">
            <w:r>
              <w:rPr>
                <w:b/>
                <w:bCs/>
                <w:sz w:val="19"/>
                <w:szCs w:val="19"/>
              </w:rPr>
              <w:t>A.5 Mention</w:t>
            </w:r>
          </w:p>
        </w:tc>
        <w:tc>
          <w:tcPr>
            <w:tcW w:w="208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2B053" w14:textId="77777777" w:rsidR="00645D4F" w:rsidRDefault="00000000">
            <w:r>
              <w:rPr>
                <w:sz w:val="19"/>
                <w:szCs w:val="19"/>
              </w:rPr>
              <w:t>Formulation de la famille « garantie locative »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33666" w14:textId="77777777" w:rsidR="00645D4F" w:rsidRDefault="00000000">
            <w:r>
              <w:rPr>
                <w:sz w:val="19"/>
                <w:szCs w:val="19"/>
              </w:rPr>
              <w:t>Présente</w:t>
            </w:r>
          </w:p>
        </w:tc>
        <w:tc>
          <w:tcPr>
            <w:tcW w:w="23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A9D28" w14:textId="77777777" w:rsidR="00645D4F" w:rsidRDefault="00000000">
            <w:r>
              <w:rPr>
                <w:sz w:val="19"/>
                <w:szCs w:val="19"/>
              </w:rPr>
              <w:t>Indéterminée ; absente sur un document lu par OCR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BC08E" w14:textId="77777777" w:rsidR="00645D4F" w:rsidRDefault="00000000">
            <w:r>
              <w:rPr>
                <w:sz w:val="19"/>
                <w:szCs w:val="19"/>
              </w:rPr>
              <w:t>Absente sur un document en texte natif</w:t>
            </w:r>
          </w:p>
        </w:tc>
      </w:tr>
      <w:tr w:rsidR="00645D4F" w14:paraId="4681467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3775A" w14:textId="77777777" w:rsidR="00645D4F" w:rsidRDefault="00000000">
            <w:r>
              <w:rPr>
                <w:b/>
                <w:bCs/>
                <w:sz w:val="19"/>
                <w:szCs w:val="19"/>
              </w:rPr>
              <w:t>A.2 Nom</w:t>
            </w:r>
          </w:p>
        </w:tc>
        <w:tc>
          <w:tcPr>
            <w:tcW w:w="208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6A1B8" w14:textId="77777777" w:rsidR="00645D4F" w:rsidRDefault="00000000">
            <w:r>
              <w:rPr>
                <w:sz w:val="19"/>
                <w:szCs w:val="19"/>
              </w:rPr>
              <w:t>Assuré ↔ titulaires du bail (entrepôt)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6EA95" w14:textId="77777777" w:rsidR="00645D4F" w:rsidRDefault="00000000">
            <w:r>
              <w:rPr>
                <w:sz w:val="19"/>
                <w:szCs w:val="19"/>
              </w:rPr>
              <w:t>Score ≥ 95</w:t>
            </w:r>
          </w:p>
        </w:tc>
        <w:tc>
          <w:tcPr>
            <w:tcW w:w="23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22EB2" w14:textId="77777777" w:rsidR="00645D4F" w:rsidRDefault="00000000">
            <w:r>
              <w:rPr>
                <w:sz w:val="19"/>
                <w:szCs w:val="19"/>
              </w:rPr>
              <w:t>Score 70 à 95 ; nom absent ; pas de référence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630F6" w14:textId="77777777" w:rsidR="00645D4F" w:rsidRDefault="00000000">
            <w:r>
              <w:rPr>
                <w:sz w:val="19"/>
                <w:szCs w:val="19"/>
              </w:rPr>
              <w:t>Score &lt; 70</w:t>
            </w:r>
          </w:p>
        </w:tc>
      </w:tr>
      <w:tr w:rsidR="00645D4F" w14:paraId="03E756B9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897FF" w14:textId="77777777" w:rsidR="00645D4F" w:rsidRDefault="00000000">
            <w:r>
              <w:rPr>
                <w:b/>
                <w:bCs/>
                <w:sz w:val="19"/>
                <w:szCs w:val="19"/>
              </w:rPr>
              <w:t>A.3 Adresse</w:t>
            </w:r>
          </w:p>
        </w:tc>
        <w:tc>
          <w:tcPr>
            <w:tcW w:w="208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BF2E4" w14:textId="77777777" w:rsidR="00645D4F" w:rsidRDefault="00000000">
            <w:r>
              <w:rPr>
                <w:sz w:val="19"/>
                <w:szCs w:val="19"/>
              </w:rPr>
              <w:t>Adresse assurée ↔ adresse du logement (entrepôt)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20C30" w14:textId="77777777" w:rsidR="00645D4F" w:rsidRDefault="00000000">
            <w:r>
              <w:rPr>
                <w:sz w:val="19"/>
                <w:szCs w:val="19"/>
              </w:rPr>
              <w:t>Voie ≥ 85, même n° de rue et même code postal</w:t>
            </w:r>
          </w:p>
        </w:tc>
        <w:tc>
          <w:tcPr>
            <w:tcW w:w="23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A74E9" w14:textId="77777777" w:rsidR="00645D4F" w:rsidRDefault="00000000">
            <w:r>
              <w:rPr>
                <w:sz w:val="19"/>
                <w:szCs w:val="19"/>
              </w:rPr>
              <w:t>Voie 65 à 85 ; n° ou code postal différent ou manquant</w:t>
            </w:r>
          </w:p>
        </w:tc>
        <w:tc>
          <w:tcPr>
            <w:tcW w:w="20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408EE" w14:textId="77777777" w:rsidR="00645D4F" w:rsidRDefault="00000000">
            <w:r>
              <w:rPr>
                <w:sz w:val="19"/>
                <w:szCs w:val="19"/>
              </w:rPr>
              <w:t>Voie &lt; 65</w:t>
            </w:r>
          </w:p>
        </w:tc>
      </w:tr>
    </w:tbl>
    <w:p w14:paraId="5CF6BCE4" w14:textId="77777777" w:rsidR="00645D4F" w:rsidRDefault="00000000">
      <w:pPr>
        <w:pStyle w:val="Titre1"/>
      </w:pPr>
      <w:r>
        <w:t>Bloc B : cohérence avec le déclaratif de l'extranet</w:t>
      </w:r>
    </w:p>
    <w:tbl>
      <w:tblPr>
        <w:tblW w:w="9638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38"/>
        <w:gridCol w:w="1700"/>
        <w:gridCol w:w="1400"/>
        <w:gridCol w:w="1500"/>
        <w:gridCol w:w="1800"/>
      </w:tblGrid>
      <w:tr w:rsidR="00645D4F" w14:paraId="2FD54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8EC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94DD3" w14:textId="77777777" w:rsidR="00645D4F" w:rsidRDefault="00000000">
            <w:r>
              <w:rPr>
                <w:b/>
                <w:bCs/>
                <w:color w:val="556172"/>
                <w:sz w:val="18"/>
                <w:szCs w:val="18"/>
              </w:rPr>
              <w:t>Règle</w:t>
            </w:r>
          </w:p>
        </w:tc>
        <w:tc>
          <w:tcPr>
            <w:tcW w:w="183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8EC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B46B5" w14:textId="77777777" w:rsidR="00645D4F" w:rsidRDefault="00000000">
            <w:r>
              <w:rPr>
                <w:b/>
                <w:bCs/>
                <w:color w:val="556172"/>
                <w:sz w:val="18"/>
                <w:szCs w:val="18"/>
              </w:rPr>
              <w:t>Contrôle</w:t>
            </w:r>
          </w:p>
        </w:tc>
        <w:tc>
          <w:tcPr>
            <w:tcW w:w="17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46A4A" w14:textId="77777777" w:rsidR="00645D4F" w:rsidRDefault="00000000">
            <w:r>
              <w:rPr>
                <w:b/>
                <w:bCs/>
                <w:color w:val="1D7A4A"/>
                <w:sz w:val="18"/>
                <w:szCs w:val="18"/>
              </w:rPr>
              <w:t>OK</w:t>
            </w:r>
          </w:p>
        </w:tc>
        <w:tc>
          <w:tcPr>
            <w:tcW w:w="14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E8AB3" w14:textId="77777777" w:rsidR="00645D4F" w:rsidRDefault="00000000">
            <w:r>
              <w:rPr>
                <w:b/>
                <w:bCs/>
                <w:color w:val="9A6200"/>
                <w:sz w:val="18"/>
                <w:szCs w:val="18"/>
              </w:rPr>
              <w:t>Douteux</w:t>
            </w:r>
          </w:p>
        </w:tc>
        <w:tc>
          <w:tcPr>
            <w:tcW w:w="15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BCB7F" w14:textId="77777777" w:rsidR="00645D4F" w:rsidRDefault="00000000">
            <w:r>
              <w:rPr>
                <w:b/>
                <w:bCs/>
                <w:color w:val="B3261E"/>
                <w:sz w:val="18"/>
                <w:szCs w:val="18"/>
              </w:rPr>
              <w:t>Non conforme</w:t>
            </w:r>
          </w:p>
        </w:tc>
        <w:tc>
          <w:tcPr>
            <w:tcW w:w="18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8EC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A9225" w14:textId="77777777" w:rsidR="00645D4F" w:rsidRDefault="00000000">
            <w:r>
              <w:rPr>
                <w:b/>
                <w:bCs/>
                <w:color w:val="556172"/>
                <w:sz w:val="18"/>
                <w:szCs w:val="18"/>
              </w:rPr>
              <w:t>Sans effet</w:t>
            </w:r>
          </w:p>
        </w:tc>
      </w:tr>
      <w:tr w:rsidR="00645D4F" w14:paraId="01DD35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59CD0" w14:textId="77777777" w:rsidR="00645D4F" w:rsidRDefault="00000000"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B.assureur</w:t>
            </w:r>
            <w:proofErr w:type="spellEnd"/>
            <w:proofErr w:type="gramEnd"/>
          </w:p>
        </w:tc>
        <w:tc>
          <w:tcPr>
            <w:tcW w:w="183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DA856" w14:textId="77777777" w:rsidR="00645D4F" w:rsidRDefault="00000000">
            <w:r>
              <w:rPr>
                <w:sz w:val="19"/>
                <w:szCs w:val="19"/>
              </w:rPr>
              <w:t xml:space="preserve">Via la table d'alias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5F8B"/>
                <w:sz w:val="19"/>
                <w:szCs w:val="19"/>
              </w:rPr>
              <w:t>assureurs.yaml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FBDBD" w14:textId="77777777" w:rsidR="00645D4F" w:rsidRDefault="00000000">
            <w:r>
              <w:rPr>
                <w:sz w:val="19"/>
                <w:szCs w:val="19"/>
              </w:rPr>
              <w:t>Même groupe</w:t>
            </w:r>
          </w:p>
        </w:tc>
        <w:tc>
          <w:tcPr>
            <w:tcW w:w="14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ED4FA" w14:textId="77777777" w:rsidR="00645D4F" w:rsidRDefault="00000000">
            <w:r>
              <w:rPr>
                <w:sz w:val="19"/>
                <w:szCs w:val="19"/>
              </w:rPr>
              <w:t>Assureur différent</w:t>
            </w:r>
          </w:p>
        </w:tc>
        <w:tc>
          <w:tcPr>
            <w:tcW w:w="15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D4214" w14:textId="77777777" w:rsidR="00645D4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CC925" w14:textId="77777777" w:rsidR="00645D4F" w:rsidRDefault="00000000">
            <w:r>
              <w:rPr>
                <w:sz w:val="19"/>
                <w:szCs w:val="19"/>
              </w:rPr>
              <w:t>« Autres assurances », courtier</w:t>
            </w:r>
          </w:p>
        </w:tc>
      </w:tr>
      <w:tr w:rsidR="00645D4F" w14:paraId="1ECC33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1389E" w14:textId="77777777" w:rsidR="00645D4F" w:rsidRDefault="00000000"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B.police</w:t>
            </w:r>
            <w:proofErr w:type="spellEnd"/>
            <w:proofErr w:type="gramEnd"/>
          </w:p>
        </w:tc>
        <w:tc>
          <w:tcPr>
            <w:tcW w:w="183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5C82A" w14:textId="77777777" w:rsidR="00645D4F" w:rsidRDefault="00000000">
            <w:r>
              <w:rPr>
                <w:sz w:val="19"/>
                <w:szCs w:val="19"/>
              </w:rPr>
              <w:t>N° comparé après normalisation</w:t>
            </w:r>
          </w:p>
        </w:tc>
        <w:tc>
          <w:tcPr>
            <w:tcW w:w="17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CB7AB" w14:textId="77777777" w:rsidR="00645D4F" w:rsidRDefault="00000000">
            <w:r>
              <w:rPr>
                <w:sz w:val="19"/>
                <w:szCs w:val="19"/>
              </w:rPr>
              <w:t>Identique, ou l'un contenu dans l'autre</w:t>
            </w:r>
          </w:p>
        </w:tc>
        <w:tc>
          <w:tcPr>
            <w:tcW w:w="14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EEEBE" w14:textId="77777777" w:rsidR="00645D4F" w:rsidRDefault="00000000">
            <w:r>
              <w:rPr>
                <w:sz w:val="19"/>
                <w:szCs w:val="19"/>
              </w:rPr>
              <w:t>N° différent</w:t>
            </w:r>
          </w:p>
        </w:tc>
        <w:tc>
          <w:tcPr>
            <w:tcW w:w="15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9BDC5" w14:textId="77777777" w:rsidR="00645D4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22B19" w14:textId="77777777" w:rsidR="00645D4F" w:rsidRDefault="00000000">
            <w:r>
              <w:rPr>
                <w:sz w:val="19"/>
                <w:szCs w:val="19"/>
              </w:rPr>
              <w:t>Absent du document</w:t>
            </w:r>
          </w:p>
        </w:tc>
      </w:tr>
      <w:tr w:rsidR="00645D4F" w14:paraId="3C84C4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931A7" w14:textId="77777777" w:rsidR="00645D4F" w:rsidRDefault="00000000"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B.date</w:t>
            </w:r>
            <w:proofErr w:type="gramEnd"/>
            <w:r>
              <w:rPr>
                <w:b/>
                <w:bCs/>
                <w:sz w:val="19"/>
                <w:szCs w:val="19"/>
              </w:rPr>
              <w:t>_debut</w:t>
            </w:r>
            <w:proofErr w:type="spellEnd"/>
          </w:p>
        </w:tc>
        <w:tc>
          <w:tcPr>
            <w:tcW w:w="183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2874A" w14:textId="77777777" w:rsidR="00645D4F" w:rsidRDefault="00000000">
            <w:r>
              <w:rPr>
                <w:sz w:val="19"/>
                <w:szCs w:val="19"/>
              </w:rPr>
              <w:t>Écart en jours</w:t>
            </w:r>
          </w:p>
        </w:tc>
        <w:tc>
          <w:tcPr>
            <w:tcW w:w="17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D27DA" w14:textId="77777777" w:rsidR="00645D4F" w:rsidRDefault="00000000">
            <w:r>
              <w:rPr>
                <w:sz w:val="19"/>
                <w:szCs w:val="19"/>
              </w:rPr>
              <w:t>0 j</w:t>
            </w:r>
          </w:p>
        </w:tc>
        <w:tc>
          <w:tcPr>
            <w:tcW w:w="14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ECDB6" w14:textId="77777777" w:rsidR="00645D4F" w:rsidRDefault="00000000">
            <w:r>
              <w:rPr>
                <w:sz w:val="19"/>
                <w:szCs w:val="19"/>
              </w:rPr>
              <w:t>Tout écart</w:t>
            </w:r>
          </w:p>
        </w:tc>
        <w:tc>
          <w:tcPr>
            <w:tcW w:w="15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667BA" w14:textId="77777777" w:rsidR="00645D4F" w:rsidRDefault="00000000">
            <w:r>
              <w:rPr>
                <w:sz w:val="19"/>
                <w:szCs w:val="19"/>
              </w:rPr>
              <w:t>— (plafonné à douteux)</w:t>
            </w:r>
          </w:p>
        </w:tc>
        <w:tc>
          <w:tcPr>
            <w:tcW w:w="18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635A4" w14:textId="77777777" w:rsidR="00645D4F" w:rsidRDefault="00000000">
            <w:r>
              <w:rPr>
                <w:sz w:val="19"/>
                <w:szCs w:val="19"/>
              </w:rPr>
              <w:t>Absente</w:t>
            </w:r>
          </w:p>
        </w:tc>
      </w:tr>
      <w:tr w:rsidR="00645D4F" w14:paraId="2985C5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5AB0A" w14:textId="77777777" w:rsidR="00645D4F" w:rsidRDefault="00000000"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B.date</w:t>
            </w:r>
            <w:proofErr w:type="gramEnd"/>
            <w:r>
              <w:rPr>
                <w:b/>
                <w:bCs/>
                <w:sz w:val="19"/>
                <w:szCs w:val="19"/>
              </w:rPr>
              <w:t>_fin</w:t>
            </w:r>
            <w:proofErr w:type="spellEnd"/>
          </w:p>
        </w:tc>
        <w:tc>
          <w:tcPr>
            <w:tcW w:w="1838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F722D" w14:textId="77777777" w:rsidR="00645D4F" w:rsidRDefault="00000000">
            <w:r>
              <w:rPr>
                <w:sz w:val="19"/>
                <w:szCs w:val="19"/>
              </w:rPr>
              <w:t>Écart en jours</w:t>
            </w:r>
          </w:p>
        </w:tc>
        <w:tc>
          <w:tcPr>
            <w:tcW w:w="17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E3F3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C167E" w14:textId="77777777" w:rsidR="00645D4F" w:rsidRDefault="00000000">
            <w:r>
              <w:rPr>
                <w:sz w:val="19"/>
                <w:szCs w:val="19"/>
              </w:rPr>
              <w:t>0 j</w:t>
            </w:r>
          </w:p>
        </w:tc>
        <w:tc>
          <w:tcPr>
            <w:tcW w:w="14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7BA35" w14:textId="77777777" w:rsidR="00645D4F" w:rsidRDefault="00000000">
            <w:r>
              <w:rPr>
                <w:sz w:val="19"/>
                <w:szCs w:val="19"/>
              </w:rPr>
              <w:t>1 à 31 j</w:t>
            </w:r>
          </w:p>
        </w:tc>
        <w:tc>
          <w:tcPr>
            <w:tcW w:w="15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shd w:val="clear" w:color="auto" w:fill="FBE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F8CAD" w14:textId="77777777" w:rsidR="00645D4F" w:rsidRDefault="00000000">
            <w:r>
              <w:rPr>
                <w:sz w:val="19"/>
                <w:szCs w:val="19"/>
              </w:rPr>
              <w:t>&gt; 31 j</w:t>
            </w:r>
          </w:p>
        </w:tc>
        <w:tc>
          <w:tcPr>
            <w:tcW w:w="1800" w:type="dxa"/>
            <w:tcBorders>
              <w:top w:val="single" w:sz="4" w:space="0" w:color="C9D0D9"/>
              <w:left w:val="single" w:sz="4" w:space="0" w:color="C9D0D9"/>
              <w:bottom w:val="single" w:sz="4" w:space="0" w:color="C9D0D9"/>
              <w:right w:val="single" w:sz="4" w:space="0" w:color="C9D0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4816C" w14:textId="77777777" w:rsidR="00645D4F" w:rsidRDefault="00000000">
            <w:r>
              <w:rPr>
                <w:sz w:val="19"/>
                <w:szCs w:val="19"/>
              </w:rPr>
              <w:t>Absente</w:t>
            </w:r>
          </w:p>
        </w:tc>
      </w:tr>
    </w:tbl>
    <w:p w14:paraId="0BE4919C" w14:textId="77777777" w:rsidR="00645D4F" w:rsidRDefault="00000000">
      <w:pPr>
        <w:pStyle w:val="Titre1"/>
      </w:pPr>
      <w:r>
        <w:t>Décisions prises</w:t>
      </w:r>
    </w:p>
    <w:p w14:paraId="5AB2CF02" w14:textId="77777777" w:rsidR="00645D4F" w:rsidRDefault="00000000">
      <w:pPr>
        <w:spacing w:after="120"/>
      </w:pPr>
      <w:r>
        <w:t xml:space="preserve">Toutes ces valeurs sont modifiables dans </w:t>
      </w:r>
      <w:r>
        <w:rPr>
          <w:rFonts w:ascii="Consolas" w:eastAsia="Consolas" w:hAnsi="Consolas" w:cs="Consolas"/>
          <w:color w:val="1F5F8B"/>
        </w:rPr>
        <w:t>config/</w:t>
      </w:r>
      <w:proofErr w:type="spellStart"/>
      <w:r>
        <w:rPr>
          <w:rFonts w:ascii="Consolas" w:eastAsia="Consolas" w:hAnsi="Consolas" w:cs="Consolas"/>
          <w:color w:val="1F5F8B"/>
        </w:rPr>
        <w:t>settings.yaml</w:t>
      </w:r>
      <w:proofErr w:type="spellEnd"/>
      <w:r>
        <w:t xml:space="preserve"> ou </w:t>
      </w:r>
      <w:r>
        <w:rPr>
          <w:rFonts w:ascii="Consolas" w:eastAsia="Consolas" w:hAnsi="Consolas" w:cs="Consolas"/>
          <w:color w:val="1F5F8B"/>
        </w:rPr>
        <w:t>config/</w:t>
      </w:r>
      <w:proofErr w:type="spellStart"/>
      <w:r>
        <w:rPr>
          <w:rFonts w:ascii="Consolas" w:eastAsia="Consolas" w:hAnsi="Consolas" w:cs="Consolas"/>
          <w:color w:val="1F5F8B"/>
        </w:rPr>
        <w:t>assureurs.yaml</w:t>
      </w:r>
      <w:proofErr w:type="spellEnd"/>
      <w:r>
        <w:t>.</w:t>
      </w:r>
    </w:p>
    <w:p w14:paraId="18BC688E" w14:textId="77777777" w:rsidR="00645D4F" w:rsidRDefault="00000000">
      <w:pPr>
        <w:pStyle w:val="Paragraphedeliste"/>
        <w:numPr>
          <w:ilvl w:val="0"/>
          <w:numId w:val="3"/>
        </w:numPr>
        <w:spacing w:after="100"/>
      </w:pPr>
      <w:r>
        <w:rPr>
          <w:b/>
          <w:bCs/>
        </w:rPr>
        <w:t>Date de référence = date de dépôt</w:t>
      </w:r>
      <w:r>
        <w:t>, tirée du nom de fichier. Les résultats sont rejouables à l'identique.</w:t>
      </w:r>
    </w:p>
    <w:p w14:paraId="0F03C77C" w14:textId="77777777" w:rsidR="00645D4F" w:rsidRDefault="00000000">
      <w:pPr>
        <w:pStyle w:val="Paragraphedeliste"/>
        <w:numPr>
          <w:ilvl w:val="0"/>
          <w:numId w:val="3"/>
        </w:numPr>
        <w:spacing w:after="100"/>
      </w:pPr>
      <w:r>
        <w:rPr>
          <w:b/>
          <w:bCs/>
        </w:rPr>
        <w:t>Seuil du nom à 95</w:t>
      </w:r>
      <w:r>
        <w:t xml:space="preserve"> au lieu de 90. À 90, « DUPOND » était accepté pour « DUPONT ».</w:t>
      </w:r>
    </w:p>
    <w:p w14:paraId="1F08A6DB" w14:textId="044FD9E7" w:rsidR="00645D4F" w:rsidRDefault="00000000">
      <w:pPr>
        <w:pStyle w:val="Paragraphedeliste"/>
        <w:numPr>
          <w:ilvl w:val="0"/>
          <w:numId w:val="3"/>
        </w:numPr>
        <w:spacing w:after="100"/>
      </w:pPr>
      <w:r>
        <w:rPr>
          <w:b/>
          <w:bCs/>
        </w:rPr>
        <w:t>Numéro de rue et code postal comparés à l'identique</w:t>
      </w:r>
      <w:r w:rsidR="00B633FA">
        <w:rPr>
          <w:b/>
          <w:bCs/>
        </w:rPr>
        <w:t xml:space="preserve"> par rapport à ce qu’on a sur l’entrepôt</w:t>
      </w:r>
      <w:r>
        <w:t>, pour ne pas valider l'immeuble voisin.</w:t>
      </w:r>
    </w:p>
    <w:p w14:paraId="29F5EBFD" w14:textId="77777777" w:rsidR="00645D4F" w:rsidRDefault="00000000">
      <w:pPr>
        <w:pStyle w:val="Paragraphedeliste"/>
        <w:numPr>
          <w:ilvl w:val="0"/>
          <w:numId w:val="3"/>
        </w:numPr>
        <w:spacing w:after="100"/>
      </w:pPr>
      <w:r>
        <w:rPr>
          <w:b/>
          <w:bCs/>
        </w:rPr>
        <w:t>Mention absente sur un document lu par OCR → douteux</w:t>
      </w:r>
      <w:r>
        <w:t>, car l'OCR a pu sauter la ligne.</w:t>
      </w:r>
    </w:p>
    <w:p w14:paraId="5A6B06E0" w14:textId="77777777" w:rsidR="00645D4F" w:rsidRDefault="00000000">
      <w:pPr>
        <w:pStyle w:val="Paragraphedeliste"/>
        <w:numPr>
          <w:ilvl w:val="0"/>
          <w:numId w:val="3"/>
        </w:numPr>
        <w:spacing w:after="100"/>
      </w:pPr>
      <w:r>
        <w:rPr>
          <w:b/>
          <w:bCs/>
        </w:rPr>
        <w:t>Date de début déclarée plafonnée à douteux.</w:t>
      </w:r>
      <w:r>
        <w:t xml:space="preserve"> Les locataires y saisissent souvent la date du dépôt.</w:t>
      </w:r>
    </w:p>
    <w:p w14:paraId="56F3A188" w14:textId="06672E6A" w:rsidR="00645D4F" w:rsidRDefault="00000000">
      <w:pPr>
        <w:pStyle w:val="Paragraphedeliste"/>
        <w:numPr>
          <w:ilvl w:val="0"/>
          <w:numId w:val="3"/>
        </w:numPr>
        <w:spacing w:after="100"/>
      </w:pPr>
      <w:r>
        <w:rPr>
          <w:b/>
          <w:bCs/>
        </w:rPr>
        <w:t>Courtiers et « Autres assurances » non comparés.</w:t>
      </w:r>
      <w:r>
        <w:t xml:space="preserve"> Les rattachements banque → assureur (LCL → Pacifica, CIC → ACM…) sont faits par table d'alias.</w:t>
      </w:r>
    </w:p>
    <w:p w14:paraId="5B88B64C" w14:textId="77777777" w:rsidR="00645D4F" w:rsidRDefault="00000000">
      <w:pPr>
        <w:pStyle w:val="Paragraphedeliste"/>
        <w:numPr>
          <w:ilvl w:val="0"/>
          <w:numId w:val="3"/>
        </w:numPr>
        <w:spacing w:after="100"/>
      </w:pPr>
      <w:r>
        <w:rPr>
          <w:b/>
          <w:bCs/>
        </w:rPr>
        <w:t>Référence entrepôt jointe sur le compte et l'ID_LOT</w:t>
      </w:r>
      <w:r>
        <w:t xml:space="preserve">, avec tous les </w:t>
      </w:r>
      <w:proofErr w:type="spellStart"/>
      <w:r>
        <w:t>co-titulaires</w:t>
      </w:r>
      <w:proofErr w:type="spellEnd"/>
      <w:r>
        <w:t xml:space="preserve"> non sortis. Les parkings, caves et anciens baux sont écartés.</w:t>
      </w:r>
    </w:p>
    <w:p w14:paraId="26C65DEC" w14:textId="77777777" w:rsidR="00645D4F" w:rsidRDefault="00000000">
      <w:pPr>
        <w:pStyle w:val="Paragraphedeliste"/>
        <w:numPr>
          <w:ilvl w:val="0"/>
          <w:numId w:val="3"/>
        </w:numPr>
        <w:spacing w:after="100"/>
      </w:pPr>
      <w:r>
        <w:rPr>
          <w:b/>
          <w:bCs/>
        </w:rPr>
        <w:t>Noms avec « épouse », « née », « veuve » découpés en variantes</w:t>
      </w:r>
      <w:r>
        <w:t xml:space="preserve"> (nom de naissance et nom d'usage) ; </w:t>
      </w:r>
      <w:proofErr w:type="gramStart"/>
      <w:r>
        <w:t>la meilleure compte</w:t>
      </w:r>
      <w:proofErr w:type="gramEnd"/>
      <w:r>
        <w:t>. « Marie MARTIN épouse DUPONT » est reconnue comme « Marie MARTIN » ou « Marie DUPONT ». Le prénom doit toujours correspondre.</w:t>
      </w:r>
    </w:p>
    <w:p w14:paraId="230DF82F" w14:textId="77777777" w:rsidR="00645D4F" w:rsidRDefault="00000000">
      <w:pPr>
        <w:pBdr>
          <w:left w:val="single" w:sz="24" w:space="8" w:color="1D7A4A"/>
        </w:pBdr>
        <w:shd w:val="clear" w:color="auto" w:fill="E3F3EA"/>
        <w:spacing w:before="200"/>
      </w:pPr>
      <w:r>
        <w:t xml:space="preserve">Aucun de ces choix ne peut faire valider une attestation à tort. Ils ne font que répartir les cas entre </w:t>
      </w:r>
      <w:r>
        <w:rPr>
          <w:b/>
          <w:bCs/>
        </w:rPr>
        <w:t>douteux</w:t>
      </w:r>
      <w:r>
        <w:t xml:space="preserve"> et </w:t>
      </w:r>
      <w:r>
        <w:rPr>
          <w:b/>
          <w:bCs/>
        </w:rPr>
        <w:t>non conforme</w:t>
      </w:r>
      <w:r>
        <w:t>, c'est-à-dire la charge de relecture humaine.</w:t>
      </w:r>
    </w:p>
    <w:p w14:paraId="69F6E78E" w14:textId="77777777" w:rsidR="00645D4F" w:rsidRDefault="00000000">
      <w:pPr>
        <w:spacing w:before="360"/>
      </w:pPr>
      <w:r>
        <w:rPr>
          <w:color w:val="556172"/>
          <w:sz w:val="17"/>
          <w:szCs w:val="17"/>
        </w:rPr>
        <w:t>POC 100 % local, aucune donnée personnelle dans ce document. Règles couvertes par 90 tests automatisés sur données synthétiques.</w:t>
      </w:r>
    </w:p>
    <w:sectPr w:rsidR="00645D4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D0F3A" w14:textId="77777777" w:rsidR="00DD66FB" w:rsidRDefault="00DD66FB">
      <w:r>
        <w:separator/>
      </w:r>
    </w:p>
  </w:endnote>
  <w:endnote w:type="continuationSeparator" w:id="0">
    <w:p w14:paraId="6D26377A" w14:textId="77777777" w:rsidR="00DD66FB" w:rsidRDefault="00DD6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E11" w14:textId="77777777" w:rsidR="00645D4F" w:rsidRDefault="00000000">
    <w:pPr>
      <w:jc w:val="right"/>
    </w:pPr>
    <w:r>
      <w:rPr>
        <w:color w:val="556172"/>
        <w:sz w:val="16"/>
        <w:szCs w:val="16"/>
      </w:rPr>
      <w:t xml:space="preserve">POC vérification des attestations · page </w:t>
    </w:r>
    <w:r>
      <w:rPr>
        <w:color w:val="556172"/>
        <w:sz w:val="16"/>
        <w:szCs w:val="16"/>
      </w:rPr>
      <w:fldChar w:fldCharType="begin"/>
    </w:r>
    <w:r>
      <w:rPr>
        <w:color w:val="556172"/>
        <w:sz w:val="16"/>
        <w:szCs w:val="16"/>
      </w:rPr>
      <w:instrText>PAGE</w:instrText>
    </w:r>
    <w:r>
      <w:rPr>
        <w:color w:val="556172"/>
        <w:sz w:val="16"/>
        <w:szCs w:val="16"/>
      </w:rPr>
      <w:fldChar w:fldCharType="separate"/>
    </w:r>
    <w:r>
      <w:rPr>
        <w:color w:val="5561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43361" w14:textId="77777777" w:rsidR="00DD66FB" w:rsidRDefault="00DD66FB">
      <w:r>
        <w:separator/>
      </w:r>
    </w:p>
  </w:footnote>
  <w:footnote w:type="continuationSeparator" w:id="0">
    <w:p w14:paraId="7DB379AD" w14:textId="77777777" w:rsidR="00DD66FB" w:rsidRDefault="00DD66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27F55"/>
    <w:multiLevelType w:val="hybridMultilevel"/>
    <w:tmpl w:val="65F26BCA"/>
    <w:lvl w:ilvl="0" w:tplc="7B34E1D2">
      <w:start w:val="1"/>
      <w:numFmt w:val="decimal"/>
      <w:lvlText w:val="%1."/>
      <w:lvlJc w:val="left"/>
      <w:pPr>
        <w:ind w:left="500" w:hanging="320"/>
      </w:pPr>
    </w:lvl>
    <w:lvl w:ilvl="1" w:tplc="E9DADC34">
      <w:numFmt w:val="decimal"/>
      <w:lvlText w:val=""/>
      <w:lvlJc w:val="left"/>
    </w:lvl>
    <w:lvl w:ilvl="2" w:tplc="5606906E">
      <w:numFmt w:val="decimal"/>
      <w:lvlText w:val=""/>
      <w:lvlJc w:val="left"/>
    </w:lvl>
    <w:lvl w:ilvl="3" w:tplc="5784FE14">
      <w:numFmt w:val="decimal"/>
      <w:lvlText w:val=""/>
      <w:lvlJc w:val="left"/>
    </w:lvl>
    <w:lvl w:ilvl="4" w:tplc="F09E7D58">
      <w:numFmt w:val="decimal"/>
      <w:lvlText w:val=""/>
      <w:lvlJc w:val="left"/>
    </w:lvl>
    <w:lvl w:ilvl="5" w:tplc="381A9748">
      <w:numFmt w:val="decimal"/>
      <w:lvlText w:val=""/>
      <w:lvlJc w:val="left"/>
    </w:lvl>
    <w:lvl w:ilvl="6" w:tplc="2A1E0B0C">
      <w:numFmt w:val="decimal"/>
      <w:lvlText w:val=""/>
      <w:lvlJc w:val="left"/>
    </w:lvl>
    <w:lvl w:ilvl="7" w:tplc="11F89D7E">
      <w:numFmt w:val="decimal"/>
      <w:lvlText w:val=""/>
      <w:lvlJc w:val="left"/>
    </w:lvl>
    <w:lvl w:ilvl="8" w:tplc="7E527C52">
      <w:numFmt w:val="decimal"/>
      <w:lvlText w:val=""/>
      <w:lvlJc w:val="left"/>
    </w:lvl>
  </w:abstractNum>
  <w:abstractNum w:abstractNumId="1" w15:restartNumberingAfterBreak="0">
    <w:nsid w:val="40110110"/>
    <w:multiLevelType w:val="hybridMultilevel"/>
    <w:tmpl w:val="D026FC5A"/>
    <w:lvl w:ilvl="0" w:tplc="C58E4E2C">
      <w:start w:val="1"/>
      <w:numFmt w:val="bullet"/>
      <w:lvlText w:val="•"/>
      <w:lvlJc w:val="left"/>
      <w:pPr>
        <w:ind w:left="500" w:hanging="260"/>
      </w:pPr>
    </w:lvl>
    <w:lvl w:ilvl="1" w:tplc="702CA1A0">
      <w:numFmt w:val="decimal"/>
      <w:lvlText w:val=""/>
      <w:lvlJc w:val="left"/>
    </w:lvl>
    <w:lvl w:ilvl="2" w:tplc="F7A28F20">
      <w:numFmt w:val="decimal"/>
      <w:lvlText w:val=""/>
      <w:lvlJc w:val="left"/>
    </w:lvl>
    <w:lvl w:ilvl="3" w:tplc="2666673C">
      <w:numFmt w:val="decimal"/>
      <w:lvlText w:val=""/>
      <w:lvlJc w:val="left"/>
    </w:lvl>
    <w:lvl w:ilvl="4" w:tplc="F6F4B550">
      <w:numFmt w:val="decimal"/>
      <w:lvlText w:val=""/>
      <w:lvlJc w:val="left"/>
    </w:lvl>
    <w:lvl w:ilvl="5" w:tplc="60E6DA40">
      <w:numFmt w:val="decimal"/>
      <w:lvlText w:val=""/>
      <w:lvlJc w:val="left"/>
    </w:lvl>
    <w:lvl w:ilvl="6" w:tplc="4B124484">
      <w:numFmt w:val="decimal"/>
      <w:lvlText w:val=""/>
      <w:lvlJc w:val="left"/>
    </w:lvl>
    <w:lvl w:ilvl="7" w:tplc="F48E9B84">
      <w:numFmt w:val="decimal"/>
      <w:lvlText w:val=""/>
      <w:lvlJc w:val="left"/>
    </w:lvl>
    <w:lvl w:ilvl="8" w:tplc="C5E2031C">
      <w:numFmt w:val="decimal"/>
      <w:lvlText w:val=""/>
      <w:lvlJc w:val="left"/>
    </w:lvl>
  </w:abstractNum>
  <w:abstractNum w:abstractNumId="2" w15:restartNumberingAfterBreak="0">
    <w:nsid w:val="54B9060F"/>
    <w:multiLevelType w:val="hybridMultilevel"/>
    <w:tmpl w:val="4B543242"/>
    <w:lvl w:ilvl="0" w:tplc="9622357C">
      <w:start w:val="1"/>
      <w:numFmt w:val="bullet"/>
      <w:lvlText w:val="●"/>
      <w:lvlJc w:val="left"/>
      <w:pPr>
        <w:ind w:left="720" w:hanging="360"/>
      </w:pPr>
    </w:lvl>
    <w:lvl w:ilvl="1" w:tplc="3BD0EE28">
      <w:start w:val="1"/>
      <w:numFmt w:val="bullet"/>
      <w:lvlText w:val="○"/>
      <w:lvlJc w:val="left"/>
      <w:pPr>
        <w:ind w:left="1440" w:hanging="360"/>
      </w:pPr>
    </w:lvl>
    <w:lvl w:ilvl="2" w:tplc="3C8ADC36">
      <w:start w:val="1"/>
      <w:numFmt w:val="bullet"/>
      <w:lvlText w:val="■"/>
      <w:lvlJc w:val="left"/>
      <w:pPr>
        <w:ind w:left="2160" w:hanging="360"/>
      </w:pPr>
    </w:lvl>
    <w:lvl w:ilvl="3" w:tplc="81785186">
      <w:start w:val="1"/>
      <w:numFmt w:val="bullet"/>
      <w:lvlText w:val="●"/>
      <w:lvlJc w:val="left"/>
      <w:pPr>
        <w:ind w:left="2880" w:hanging="360"/>
      </w:pPr>
    </w:lvl>
    <w:lvl w:ilvl="4" w:tplc="ED069542">
      <w:start w:val="1"/>
      <w:numFmt w:val="bullet"/>
      <w:lvlText w:val="○"/>
      <w:lvlJc w:val="left"/>
      <w:pPr>
        <w:ind w:left="3600" w:hanging="360"/>
      </w:pPr>
    </w:lvl>
    <w:lvl w:ilvl="5" w:tplc="A810F526">
      <w:start w:val="1"/>
      <w:numFmt w:val="bullet"/>
      <w:lvlText w:val="■"/>
      <w:lvlJc w:val="left"/>
      <w:pPr>
        <w:ind w:left="4320" w:hanging="360"/>
      </w:pPr>
    </w:lvl>
    <w:lvl w:ilvl="6" w:tplc="545CDD60">
      <w:start w:val="1"/>
      <w:numFmt w:val="bullet"/>
      <w:lvlText w:val="●"/>
      <w:lvlJc w:val="left"/>
      <w:pPr>
        <w:ind w:left="5040" w:hanging="360"/>
      </w:pPr>
    </w:lvl>
    <w:lvl w:ilvl="7" w:tplc="420C11E8">
      <w:start w:val="1"/>
      <w:numFmt w:val="bullet"/>
      <w:lvlText w:val="●"/>
      <w:lvlJc w:val="left"/>
      <w:pPr>
        <w:ind w:left="5760" w:hanging="360"/>
      </w:pPr>
    </w:lvl>
    <w:lvl w:ilvl="8" w:tplc="5C7095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1E491E"/>
    <w:multiLevelType w:val="hybridMultilevel"/>
    <w:tmpl w:val="8F6EDB52"/>
    <w:lvl w:ilvl="0" w:tplc="5DEA607A">
      <w:start w:val="1"/>
      <w:numFmt w:val="decimal"/>
      <w:lvlText w:val="%1."/>
      <w:lvlJc w:val="left"/>
      <w:pPr>
        <w:ind w:left="500" w:hanging="320"/>
      </w:pPr>
    </w:lvl>
    <w:lvl w:ilvl="1" w:tplc="BD561BA2">
      <w:numFmt w:val="decimal"/>
      <w:lvlText w:val=""/>
      <w:lvlJc w:val="left"/>
    </w:lvl>
    <w:lvl w:ilvl="2" w:tplc="548E3CAC">
      <w:numFmt w:val="decimal"/>
      <w:lvlText w:val=""/>
      <w:lvlJc w:val="left"/>
    </w:lvl>
    <w:lvl w:ilvl="3" w:tplc="E2AC7758">
      <w:numFmt w:val="decimal"/>
      <w:lvlText w:val=""/>
      <w:lvlJc w:val="left"/>
    </w:lvl>
    <w:lvl w:ilvl="4" w:tplc="114ABE00">
      <w:numFmt w:val="decimal"/>
      <w:lvlText w:val=""/>
      <w:lvlJc w:val="left"/>
    </w:lvl>
    <w:lvl w:ilvl="5" w:tplc="B99AFD92">
      <w:numFmt w:val="decimal"/>
      <w:lvlText w:val=""/>
      <w:lvlJc w:val="left"/>
    </w:lvl>
    <w:lvl w:ilvl="6" w:tplc="90325138">
      <w:numFmt w:val="decimal"/>
      <w:lvlText w:val=""/>
      <w:lvlJc w:val="left"/>
    </w:lvl>
    <w:lvl w:ilvl="7" w:tplc="2E2472D0">
      <w:numFmt w:val="decimal"/>
      <w:lvlText w:val=""/>
      <w:lvlJc w:val="left"/>
    </w:lvl>
    <w:lvl w:ilvl="8" w:tplc="35427436">
      <w:numFmt w:val="decimal"/>
      <w:lvlText w:val=""/>
      <w:lvlJc w:val="left"/>
    </w:lvl>
  </w:abstractNum>
  <w:num w:numId="1" w16cid:durableId="689987042">
    <w:abstractNumId w:val="2"/>
    <w:lvlOverride w:ilvl="0">
      <w:startOverride w:val="1"/>
    </w:lvlOverride>
  </w:num>
  <w:num w:numId="2" w16cid:durableId="980577200">
    <w:abstractNumId w:val="3"/>
    <w:lvlOverride w:ilvl="0">
      <w:startOverride w:val="1"/>
    </w:lvlOverride>
  </w:num>
  <w:num w:numId="3" w16cid:durableId="1979722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D4F"/>
    <w:rsid w:val="00645D4F"/>
    <w:rsid w:val="00B633FA"/>
    <w:rsid w:val="00C77807"/>
    <w:rsid w:val="00DD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C35FE"/>
  <w15:docId w15:val="{79934E28-C37E-4716-B626-373BE0E2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430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keepNext/>
      <w:spacing w:before="320" w:after="140"/>
      <w:outlineLvl w:val="0"/>
    </w:pPr>
    <w:rPr>
      <w:b/>
      <w:bCs/>
      <w:color w:val="1F5F8B"/>
      <w:sz w:val="28"/>
      <w:szCs w:val="28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621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de conformité des attestations d'assurance</dc:title>
  <dc:creator>POC attestations</dc:creator>
  <cp:lastModifiedBy>GHRAIRI Marwan</cp:lastModifiedBy>
  <cp:revision>2</cp:revision>
  <dcterms:created xsi:type="dcterms:W3CDTF">2026-10-16T09:46:00Z</dcterms:created>
  <dcterms:modified xsi:type="dcterms:W3CDTF">2026-10-16T09:57:00Z</dcterms:modified>
</cp:coreProperties>
</file>