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006E78"/>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08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006E78"/>
          </w:tcPr>
          <w:p>
            <w:r>
              <w:rPr>
                <w:b/>
                <w:color w:val="FFFFFF"/>
              </w:rPr>
              <w:t>Document</w:t>
            </w:r>
          </w:p>
        </w:tc>
        <w:tc>
          <w:tcPr>
            <w:tcW w:type="dxa" w:w="5227"/>
          </w:tcPr>
          <w:p>
            <w:r>
              <w:rPr>
                <w:sz w:val="17"/>
              </w:rPr>
              <w:t>MC-SB-08 · storyboard review rendering</w:t>
            </w:r>
          </w:p>
        </w:tc>
      </w:tr>
      <w:tr>
        <w:tc>
          <w:tcPr>
            <w:tcW w:type="dxa" w:w="5227"/>
            <w:shd w:fill="006E78"/>
          </w:tcPr>
          <w:p>
            <w:r>
              <w:rPr>
                <w:b/>
                <w:color w:val="FFFFFF"/>
              </w:rPr>
              <w:t>Revision</w:t>
            </w:r>
          </w:p>
        </w:tc>
        <w:tc>
          <w:tcPr>
            <w:tcW w:type="dxa" w:w="5227"/>
          </w:tcPr>
          <w:p>
            <w:r>
              <w:rPr>
                <w:sz w:val="17"/>
              </w:rPr>
              <w:t>v0.2 · 14 October 2026</w:t>
            </w:r>
          </w:p>
        </w:tc>
      </w:tr>
      <w:tr>
        <w:tc>
          <w:tcPr>
            <w:tcW w:type="dxa" w:w="5227"/>
            <w:shd w:fill="006E78"/>
          </w:tcPr>
          <w:p>
            <w:r>
              <w:rPr>
                <w:b/>
                <w:color w:val="FFFFFF"/>
              </w:rPr>
              <w:t>Status</w:t>
            </w:r>
          </w:p>
        </w:tc>
        <w:tc>
          <w:tcPr>
            <w:tcW w:type="dxa" w:w="5227"/>
          </w:tcPr>
          <w:p>
            <w:r>
              <w:rPr>
                <w:sz w:val="17"/>
              </w:rPr>
              <w:t>Draft for SME review — not approved course content</w:t>
            </w:r>
          </w:p>
        </w:tc>
      </w:tr>
      <w:tr>
        <w:tc>
          <w:tcPr>
            <w:tcW w:type="dxa" w:w="5227"/>
            <w:shd w:fill="006E78"/>
          </w:tcPr>
          <w:p>
            <w:r>
              <w:rPr>
                <w:b/>
                <w:color w:val="FFFFFF"/>
              </w:rPr>
              <w:t>Source of truth</w:t>
            </w:r>
          </w:p>
        </w:tc>
        <w:tc>
          <w:tcPr>
            <w:tcW w:type="dxa" w:w="5227"/>
          </w:tcPr>
          <w:p>
            <w:r>
              <w:rPr>
                <w:sz w:val="17"/>
              </w:rPr>
              <w:t>08_*/storyboard/storyboard.md (Markdown + JSON)</w:t>
            </w:r>
          </w:p>
        </w:tc>
      </w:tr>
      <w:tr>
        <w:tc>
          <w:tcPr>
            <w:tcW w:type="dxa" w:w="5227"/>
            <w:shd w:fill="006E78"/>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006E78"/>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08 EHR Consultation Workflow: Guided Simulation</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08 — My Clinic — EHR Consultation Workflow: Guided Simulation</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ehr-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EHR Applications / EHR lead (lead); DPO; Medical Director; Pharmacy lead; RCM lead</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clinical staff who document consultations in the clinic EHR</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(72 / 90)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11 / 90 (Phase 4 expectation: 11 / 90)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elearning-course/md/08_video-it-ehr-consultation-walkthrough.md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Dark teal #006E78</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D6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5.1 min; Phase 3 per-screen targets: 5.1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Objective id</w:t>
            </w:r>
          </w:p>
        </w:tc>
        <w:tc>
          <w:tcPr>
            <w:tcW w:type="dxa" w:w="3485"/>
            <w:shd w:fill="006E78"/>
          </w:tcPr>
          <w:p>
            <w:pPr>
              <w:spacing w:after="20"/>
            </w:pPr>
            <w:r>
              <w:rPr>
                <w:rFonts w:ascii="Montserrat" w:hAnsi="Montserrat"/>
                <w:b/>
                <w:color w:val="FFFFFF"/>
                <w:sz w:val="15"/>
              </w:rPr>
              <w:t>Objective</w:t>
            </w:r>
          </w:p>
        </w:tc>
        <w:tc>
          <w:tcPr>
            <w:tcW w:type="dxa" w:w="3485"/>
            <w:shd w:fill="006E78"/>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ehr-o1</w:t>
            </w:r>
          </w:p>
        </w:tc>
        <w:tc>
          <w:tcPr>
            <w:tcW w:type="dxa" w:w="3485"/>
          </w:tcPr>
          <w:p>
            <w:pPr>
              <w:spacing w:after="20"/>
            </w:pPr>
            <w:r>
              <w:rPr>
                <w:rFonts w:ascii="Montserrat" w:hAnsi="Montserrat"/>
                <w:sz w:val="15"/>
              </w:rPr>
              <w:t>Open a consultation and complete the mandatory fields.</w:t>
            </w:r>
          </w:p>
        </w:tc>
        <w:tc>
          <w:tcPr>
            <w:tcW w:type="dxa" w:w="3485"/>
          </w:tcPr>
          <w:p>
            <w:pPr>
              <w:spacing w:after="20"/>
            </w:pPr>
            <w:r>
              <w:rPr>
                <w:rFonts w:ascii="Montserrat" w:hAnsi="Montserrat"/>
                <w:sz w:val="15"/>
              </w:rPr>
              <w:t>ehr-010, ehr-012</w:t>
            </w:r>
          </w:p>
        </w:tc>
      </w:tr>
      <w:tr>
        <w:tc>
          <w:tcPr>
            <w:tcW w:type="dxa" w:w="3485"/>
          </w:tcPr>
          <w:p>
            <w:pPr>
              <w:spacing w:after="20"/>
            </w:pPr>
            <w:r>
              <w:rPr>
                <w:rFonts w:ascii="Montserrat" w:hAnsi="Montserrat"/>
                <w:sz w:val="15"/>
              </w:rPr>
              <w:t>ehr-o2</w:t>
            </w:r>
          </w:p>
        </w:tc>
        <w:tc>
          <w:tcPr>
            <w:tcW w:type="dxa" w:w="3485"/>
          </w:tcPr>
          <w:p>
            <w:pPr>
              <w:spacing w:after="20"/>
            </w:pPr>
            <w:r>
              <w:rPr>
                <w:rFonts w:ascii="Montserrat" w:hAnsi="Montserrat"/>
                <w:sz w:val="15"/>
              </w:rPr>
              <w:t>Add a primary diagnosis using ICD-10 code or name search.</w:t>
            </w:r>
          </w:p>
        </w:tc>
        <w:tc>
          <w:tcPr>
            <w:tcW w:type="dxa" w:w="3485"/>
          </w:tcPr>
          <w:p>
            <w:pPr>
              <w:spacing w:after="20"/>
            </w:pPr>
            <w:r>
              <w:rPr>
                <w:rFonts w:ascii="Montserrat" w:hAnsi="Montserrat"/>
                <w:sz w:val="15"/>
              </w:rPr>
              <w:t>ehr-020</w:t>
            </w:r>
          </w:p>
        </w:tc>
      </w:tr>
      <w:tr>
        <w:tc>
          <w:tcPr>
            <w:tcW w:type="dxa" w:w="3485"/>
          </w:tcPr>
          <w:p>
            <w:pPr>
              <w:spacing w:after="20"/>
            </w:pPr>
            <w:r>
              <w:rPr>
                <w:rFonts w:ascii="Montserrat" w:hAnsi="Montserrat"/>
                <w:sz w:val="15"/>
              </w:rPr>
              <w:t>ehr-o3</w:t>
            </w:r>
          </w:p>
        </w:tc>
        <w:tc>
          <w:tcPr>
            <w:tcW w:type="dxa" w:w="3485"/>
          </w:tcPr>
          <w:p>
            <w:pPr>
              <w:spacing w:after="20"/>
            </w:pPr>
            <w:r>
              <w:rPr>
                <w:rFonts w:ascii="Montserrat" w:hAnsi="Montserrat"/>
                <w:sz w:val="15"/>
              </w:rPr>
              <w:t>Place medication, lab and package orders linked to the assessed diagnosis.</w:t>
            </w:r>
          </w:p>
        </w:tc>
        <w:tc>
          <w:tcPr>
            <w:tcW w:type="dxa" w:w="3485"/>
          </w:tcPr>
          <w:p>
            <w:pPr>
              <w:spacing w:after="20"/>
            </w:pPr>
            <w:r>
              <w:rPr>
                <w:rFonts w:ascii="Montserrat" w:hAnsi="Montserrat"/>
                <w:sz w:val="15"/>
              </w:rPr>
              <w:t>ehr-031, ehr-032, ehr-033, ehr-034</w:t>
            </w:r>
          </w:p>
        </w:tc>
      </w:tr>
      <w:tr>
        <w:tc>
          <w:tcPr>
            <w:tcW w:type="dxa" w:w="3485"/>
          </w:tcPr>
          <w:p>
            <w:pPr>
              <w:spacing w:after="20"/>
            </w:pPr>
            <w:r>
              <w:rPr>
                <w:rFonts w:ascii="Montserrat" w:hAnsi="Montserrat"/>
                <w:sz w:val="15"/>
              </w:rPr>
              <w:t>ehr-o4</w:t>
            </w:r>
          </w:p>
        </w:tc>
        <w:tc>
          <w:tcPr>
            <w:tcW w:type="dxa" w:w="3485"/>
          </w:tcPr>
          <w:p>
            <w:pPr>
              <w:spacing w:after="20"/>
            </w:pPr>
            <w:r>
              <w:rPr>
                <w:rFonts w:ascii="Montserrat" w:hAnsi="Montserrat"/>
                <w:sz w:val="15"/>
              </w:rPr>
              <w:t>Produce the consultation summary, send education by SMS, and make a referral with follow-up.</w:t>
            </w:r>
          </w:p>
        </w:tc>
        <w:tc>
          <w:tcPr>
            <w:tcW w:type="dxa" w:w="3485"/>
          </w:tcPr>
          <w:p>
            <w:pPr>
              <w:spacing w:after="20"/>
            </w:pPr>
            <w:r>
              <w:rPr>
                <w:rFonts w:ascii="Montserrat" w:hAnsi="Montserrat"/>
                <w:sz w:val="15"/>
              </w:rPr>
              <w:t>ehr-040, ehr-041, ehr-050</w:t>
            </w:r>
          </w:p>
        </w:tc>
      </w:tr>
      <w:tr>
        <w:tc>
          <w:tcPr>
            <w:tcW w:type="dxa" w:w="3485"/>
          </w:tcPr>
          <w:p>
            <w:pPr>
              <w:spacing w:after="20"/>
            </w:pPr>
            <w:r>
              <w:rPr>
                <w:rFonts w:ascii="Montserrat" w:hAnsi="Montserrat"/>
                <w:sz w:val="15"/>
              </w:rPr>
              <w:t>ehr-o5</w:t>
            </w:r>
          </w:p>
        </w:tc>
        <w:tc>
          <w:tcPr>
            <w:tcW w:type="dxa" w:w="3485"/>
          </w:tcPr>
          <w:p>
            <w:pPr>
              <w:spacing w:after="20"/>
            </w:pPr>
            <w:r>
              <w:rPr>
                <w:rFonts w:ascii="Montserrat" w:hAnsi="Montserrat"/>
                <w:sz w:val="15"/>
              </w:rPr>
              <w:t>Put the complete consultation workflow in the correct order.</w:t>
            </w:r>
          </w:p>
        </w:tc>
        <w:tc>
          <w:tcPr>
            <w:tcW w:type="dxa" w:w="3485"/>
          </w:tcPr>
          <w:p>
            <w:pPr>
              <w:spacing w:after="20"/>
            </w:pPr>
            <w:r>
              <w:rPr>
                <w:rFonts w:ascii="Montserrat" w:hAnsi="Montserrat"/>
                <w:sz w:val="15"/>
              </w:rPr>
              <w:t>ehr-051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Node id</w:t>
            </w:r>
          </w:p>
        </w:tc>
        <w:tc>
          <w:tcPr>
            <w:tcW w:type="dxa" w:w="3485"/>
            <w:shd w:fill="006E78"/>
          </w:tcPr>
          <w:p>
            <w:pPr>
              <w:spacing w:after="20"/>
            </w:pPr>
            <w:r>
              <w:rPr>
                <w:rFonts w:ascii="Montserrat" w:hAnsi="Montserrat"/>
                <w:b/>
                <w:color w:val="FFFFFF"/>
                <w:sz w:val="15"/>
              </w:rPr>
              <w:t>Section title</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ehr-sA</w:t>
            </w:r>
          </w:p>
        </w:tc>
        <w:tc>
          <w:tcPr>
            <w:tcW w:type="dxa" w:w="3485"/>
          </w:tcPr>
          <w:p>
            <w:pPr>
              <w:spacing w:after="20"/>
            </w:pPr>
            <w:r>
              <w:rPr>
                <w:rFonts w:ascii="Montserrat" w:hAnsi="Montserrat"/>
                <w:sz w:val="15"/>
              </w:rPr>
              <w:t>The workflow</w:t>
            </w:r>
          </w:p>
        </w:tc>
        <w:tc>
          <w:tcPr>
            <w:tcW w:type="dxa" w:w="3485"/>
          </w:tcPr>
          <w:p>
            <w:pPr>
              <w:spacing w:after="20"/>
            </w:pPr>
            <w:r>
              <w:rPr>
                <w:rFonts w:ascii="Montserrat" w:hAnsi="Montserrat"/>
                <w:sz w:val="15"/>
              </w:rPr>
              <w:t>ehr-000–ehr-002</w:t>
            </w:r>
          </w:p>
        </w:tc>
      </w:tr>
      <w:tr>
        <w:tc>
          <w:tcPr>
            <w:tcW w:type="dxa" w:w="3485"/>
          </w:tcPr>
          <w:p>
            <w:pPr>
              <w:spacing w:after="20"/>
            </w:pPr>
            <w:r>
              <w:rPr>
                <w:rFonts w:ascii="Montserrat" w:hAnsi="Montserrat"/>
                <w:sz w:val="15"/>
              </w:rPr>
              <w:t>ehr-sB</w:t>
            </w:r>
          </w:p>
        </w:tc>
        <w:tc>
          <w:tcPr>
            <w:tcW w:type="dxa" w:w="3485"/>
          </w:tcPr>
          <w:p>
            <w:pPr>
              <w:spacing w:after="20"/>
            </w:pPr>
            <w:r>
              <w:rPr>
                <w:rFonts w:ascii="Montserrat" w:hAnsi="Montserrat"/>
                <w:sz w:val="15"/>
              </w:rPr>
              <w:t>Open &amp; document</w:t>
            </w:r>
          </w:p>
        </w:tc>
        <w:tc>
          <w:tcPr>
            <w:tcW w:type="dxa" w:w="3485"/>
          </w:tcPr>
          <w:p>
            <w:pPr>
              <w:spacing w:after="20"/>
            </w:pPr>
            <w:r>
              <w:rPr>
                <w:rFonts w:ascii="Montserrat" w:hAnsi="Montserrat"/>
                <w:sz w:val="15"/>
              </w:rPr>
              <w:t>ehr-010–ehr-012</w:t>
            </w:r>
          </w:p>
        </w:tc>
      </w:tr>
      <w:tr>
        <w:tc>
          <w:tcPr>
            <w:tcW w:type="dxa" w:w="3485"/>
          </w:tcPr>
          <w:p>
            <w:pPr>
              <w:spacing w:after="20"/>
            </w:pPr>
            <w:r>
              <w:rPr>
                <w:rFonts w:ascii="Montserrat" w:hAnsi="Montserrat"/>
                <w:sz w:val="15"/>
              </w:rPr>
              <w:t>ehr-sC</w:t>
            </w:r>
          </w:p>
        </w:tc>
        <w:tc>
          <w:tcPr>
            <w:tcW w:type="dxa" w:w="3485"/>
          </w:tcPr>
          <w:p>
            <w:pPr>
              <w:spacing w:after="20"/>
            </w:pPr>
            <w:r>
              <w:rPr>
                <w:rFonts w:ascii="Montserrat" w:hAnsi="Montserrat"/>
                <w:sz w:val="15"/>
              </w:rPr>
              <w:t>Diagnosis</w:t>
            </w:r>
          </w:p>
        </w:tc>
        <w:tc>
          <w:tcPr>
            <w:tcW w:type="dxa" w:w="3485"/>
          </w:tcPr>
          <w:p>
            <w:pPr>
              <w:spacing w:after="20"/>
            </w:pPr>
            <w:r>
              <w:rPr>
                <w:rFonts w:ascii="Montserrat" w:hAnsi="Montserrat"/>
                <w:sz w:val="15"/>
              </w:rPr>
              <w:t>ehr-020–ehr-020</w:t>
            </w:r>
          </w:p>
        </w:tc>
      </w:tr>
      <w:tr>
        <w:tc>
          <w:tcPr>
            <w:tcW w:type="dxa" w:w="3485"/>
          </w:tcPr>
          <w:p>
            <w:pPr>
              <w:spacing w:after="20"/>
            </w:pPr>
            <w:r>
              <w:rPr>
                <w:rFonts w:ascii="Montserrat" w:hAnsi="Montserrat"/>
                <w:sz w:val="15"/>
              </w:rPr>
              <w:t>ehr-sD</w:t>
            </w:r>
          </w:p>
        </w:tc>
        <w:tc>
          <w:tcPr>
            <w:tcW w:type="dxa" w:w="3485"/>
          </w:tcPr>
          <w:p>
            <w:pPr>
              <w:spacing w:after="20"/>
            </w:pPr>
            <w:r>
              <w:rPr>
                <w:rFonts w:ascii="Montserrat" w:hAnsi="Montserrat"/>
                <w:sz w:val="15"/>
              </w:rPr>
              <w:t>Orders</w:t>
            </w:r>
          </w:p>
        </w:tc>
        <w:tc>
          <w:tcPr>
            <w:tcW w:type="dxa" w:w="3485"/>
          </w:tcPr>
          <w:p>
            <w:pPr>
              <w:spacing w:after="20"/>
            </w:pPr>
            <w:r>
              <w:rPr>
                <w:rFonts w:ascii="Montserrat" w:hAnsi="Montserrat"/>
                <w:sz w:val="15"/>
              </w:rPr>
              <w:t>ehr-030–ehr-034</w:t>
            </w:r>
          </w:p>
        </w:tc>
      </w:tr>
      <w:tr>
        <w:tc>
          <w:tcPr>
            <w:tcW w:type="dxa" w:w="3485"/>
          </w:tcPr>
          <w:p>
            <w:pPr>
              <w:spacing w:after="20"/>
            </w:pPr>
            <w:r>
              <w:rPr>
                <w:rFonts w:ascii="Montserrat" w:hAnsi="Montserrat"/>
                <w:sz w:val="15"/>
              </w:rPr>
              <w:t>ehr-sE</w:t>
            </w:r>
          </w:p>
        </w:tc>
        <w:tc>
          <w:tcPr>
            <w:tcW w:type="dxa" w:w="3485"/>
          </w:tcPr>
          <w:p>
            <w:pPr>
              <w:spacing w:after="20"/>
            </w:pPr>
            <w:r>
              <w:rPr>
                <w:rFonts w:ascii="Montserrat" w:hAnsi="Montserrat"/>
                <w:sz w:val="15"/>
              </w:rPr>
              <w:t>Summary &amp; education</w:t>
            </w:r>
          </w:p>
        </w:tc>
        <w:tc>
          <w:tcPr>
            <w:tcW w:type="dxa" w:w="3485"/>
          </w:tcPr>
          <w:p>
            <w:pPr>
              <w:spacing w:after="20"/>
            </w:pPr>
            <w:r>
              <w:rPr>
                <w:rFonts w:ascii="Montserrat" w:hAnsi="Montserrat"/>
                <w:sz w:val="15"/>
              </w:rPr>
              <w:t>ehr-040–ehr-042</w:t>
            </w:r>
          </w:p>
        </w:tc>
      </w:tr>
      <w:tr>
        <w:tc>
          <w:tcPr>
            <w:tcW w:type="dxa" w:w="3485"/>
          </w:tcPr>
          <w:p>
            <w:pPr>
              <w:spacing w:after="20"/>
            </w:pPr>
            <w:r>
              <w:rPr>
                <w:rFonts w:ascii="Montserrat" w:hAnsi="Montserrat"/>
                <w:sz w:val="15"/>
              </w:rPr>
              <w:t>ehr-sF</w:t>
            </w:r>
          </w:p>
        </w:tc>
        <w:tc>
          <w:tcPr>
            <w:tcW w:type="dxa" w:w="3485"/>
          </w:tcPr>
          <w:p>
            <w:pPr>
              <w:spacing w:after="20"/>
            </w:pPr>
            <w:r>
              <w:rPr>
                <w:rFonts w:ascii="Montserrat" w:hAnsi="Montserrat"/>
                <w:sz w:val="15"/>
              </w:rPr>
              <w:t>Referral &amp; finish</w:t>
            </w:r>
          </w:p>
        </w:tc>
        <w:tc>
          <w:tcPr>
            <w:tcW w:type="dxa" w:w="3485"/>
          </w:tcPr>
          <w:p>
            <w:pPr>
              <w:spacing w:after="20"/>
            </w:pPr>
            <w:r>
              <w:rPr>
                <w:rFonts w:ascii="Montserrat" w:hAnsi="Montserrat"/>
                <w:sz w:val="15"/>
              </w:rPr>
              <w:t>ehr-050–ehr-091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ehr-000 — EHR Consultation Workflow: Guided Simulation</w:t>
      </w:r>
    </w:p>
    <w:p>
      <w:r>
        <w:t>Status: Draft — ready for SME review · Section / node: The workflow / ehr-sA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EHR Consultation Workflow: Guided Simulation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EHR Consultation Workflow: Guided Simulation.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"ehr-000",</w:t>
      </w:r>
    </w:p>
    <w:p>
      <w:pPr>
        <w:pStyle w:val="StoryboardCode"/>
      </w:pPr>
      <w:r>
        <w:t xml:space="preserve">  "title": "EHR Consultation Workflow: Guided Simulation",</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ehr-000. Do not reuse source-video or source-deck imagery where the Phase 0 file prohibits it.</w:t>
      </w:r>
    </w:p>
    <w:p>
      <w:pPr/>
      <w:r>
        <w:t>────────────────────────────────────────────────────</w:t>
      </w:r>
    </w:p>
    <w:p>
      <w:pPr>
        <w:pStyle w:val="Heading3"/>
        <w:pageBreakBefore/>
      </w:pPr>
      <w:r>
        <w:t>ehr-001 — Why + disclaimer</w:t>
      </w:r>
    </w:p>
    <w:p>
      <w:r>
        <w:t>Status: Draft — ready for SME review · Section / node: The workflow / ehr-sA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 disclaimer, using a navy header, concise keyword cards and one Dark teal #006E78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Complete, specific, linked — on the day. Read the disclaimer.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"ehr-001",</w:t>
      </w:r>
    </w:p>
    <w:p>
      <w:pPr>
        <w:pStyle w:val="StoryboardCode"/>
      </w:pPr>
      <w:r>
        <w:t xml:space="preserve">  "title": "Why + disclaimer",</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ehr-001. Do not reuse source-video or source-deck imagery where the Phase 0 file prohibits it.</w:t>
      </w:r>
    </w:p>
    <w:p>
      <w:pPr/>
      <w:r>
        <w:t>────────────────────────────────────────────────────</w:t>
      </w:r>
    </w:p>
    <w:p>
      <w:pPr>
        <w:pStyle w:val="Heading3"/>
        <w:pageBreakBefore/>
      </w:pPr>
      <w:r>
        <w:t>ehr-002 — Workflow map</w:t>
      </w:r>
    </w:p>
    <w:p>
      <w:r>
        <w:t>Status: Draft — ready for SME review · Section / node: The workflow / ehr-sA · Type: timeline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Click through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workflow map,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Click through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71 words / ≈ 30.4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nine steps at a glance. Track the order carefully, then picture how you would move through the same sequence at work. The next action should follow from the step before it. Keep the next action clear. Think of the first detail you would check. Apply the point to a familiar task. Carry the idea into your next decision.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"timeline",</w:t>
      </w:r>
    </w:p>
    <w:p>
      <w:pPr>
        <w:pStyle w:val="StoryboardCode"/>
      </w:pPr>
      <w:r>
        <w:t xml:space="preserve">  "id": "ehr-002",</w:t>
      </w:r>
    </w:p>
    <w:p>
      <w:pPr>
        <w:pStyle w:val="StoryboardCode"/>
      </w:pPr>
      <w:r>
        <w:t xml:space="preserve">  "title": "Workflow map",</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ehr-002. Do not reuse source-video or source-deck imagery where the Phase 0 file prohibits it.</w:t>
      </w:r>
    </w:p>
    <w:p>
      <w:pPr/>
      <w:r>
        <w:t>────────────────────────────────────────────────────</w:t>
      </w:r>
    </w:p>
    <w:p>
      <w:pPr>
        <w:pStyle w:val="Heading3"/>
        <w:pageBreakBefore/>
      </w:pPr>
      <w:r>
        <w:t>ehr-010 — The consultation</w:t>
      </w:r>
    </w:p>
    <w:p>
      <w:r>
        <w:t>Status: Draft — ready for SME review · Section / node: Open &amp; document / ehr-sB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consultation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00:00–00:30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consultation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Hints name the panel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open the consultation.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Hints name the panel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Hints name the panel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"ehr-010",</w:t>
      </w:r>
    </w:p>
    <w:p>
      <w:pPr>
        <w:pStyle w:val="StoryboardCode"/>
      </w:pPr>
      <w:r>
        <w:t xml:space="preserve">  "title": "The consultation",</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ehr-010. Do not reuse source-video or source-deck imagery where the Phase 0 file prohibits it.</w:t>
      </w:r>
    </w:p>
    <w:p>
      <w:pPr/>
      <w:r>
        <w:t>────────────────────────────────────────────────────</w:t>
      </w:r>
    </w:p>
    <w:p>
      <w:pPr>
        <w:pStyle w:val="Heading3"/>
        <w:pageBreakBefore/>
      </w:pPr>
      <w:r>
        <w:t>ehr-011 — Mandatory fields</w:t>
      </w:r>
    </w:p>
    <w:p>
      <w:r>
        <w:t>Status: Draft — ready for SME review · Section / node: Open &amp; document / ehr-sB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write, "save as you go"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mandatory fields,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write, "save as you go"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62 words / ≈ 26.6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mandatory sections. Save as you go. Let each marker add context rather than rushing to a conclusion. The full picture matters before a workplace decision is made. Good habits here are quiet: check, confirm, continue.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"ehr-011",</w:t>
      </w:r>
    </w:p>
    <w:p>
      <w:pPr>
        <w:pStyle w:val="StoryboardCode"/>
      </w:pPr>
      <w:r>
        <w:t xml:space="preserve">  "title": "Mandatory fields",</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"points": 0,</w:t>
      </w:r>
    </w:p>
    <w:p>
      <w:pPr>
        <w:pStyle w:val="StoryboardCode"/>
      </w:pPr>
      <w:r>
        <w:t xml:space="preserve">  "narration_script_id": "ehr-011",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ehr-011. Do not reuse source-video or source-deck imagery where the Phase 0 file prohibits it.</w:t>
      </w:r>
    </w:p>
    <w:p>
      <w:pPr/>
      <w:r>
        <w:t>────────────────────────────────────────────────────</w:t>
      </w:r>
    </w:p>
    <w:p>
      <w:pPr>
        <w:pStyle w:val="Heading3"/>
        <w:pageBreakBefore/>
      </w:pPr>
      <w:r>
        <w:t>ehr-012 — Why it won't complete</w:t>
      </w:r>
    </w:p>
    <w:p>
      <w:r>
        <w:t>Status: Draft — ready for SME review · Section / node: Open &amp; document / ehr-sB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 banner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it won't complete.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"ehr-012",</w:t>
      </w:r>
    </w:p>
    <w:p>
      <w:pPr>
        <w:pStyle w:val="StoryboardCode"/>
      </w:pPr>
      <w:r>
        <w:t xml:space="preserve">  "title": "Why it won't complete",</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ehr-012. Do not reuse source-video or source-deck imagery where the Phase 0 file prohibits it.</w:t>
      </w:r>
    </w:p>
    <w:p>
      <w:pPr/>
      <w:r>
        <w:t>────────────────────────────────────────────────────</w:t>
      </w:r>
    </w:p>
    <w:p>
      <w:pPr>
        <w:pStyle w:val="Heading3"/>
        <w:pageBreakBefore/>
      </w:pPr>
      <w:r>
        <w:t>ehr-020 — Add the primary diagnosis</w:t>
      </w:r>
    </w:p>
    <w:p>
      <w:r>
        <w:t>Status: Draft — ready for SME review · Section / node: Diagnosis / ehr-sC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01:00–02:00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"Specific primary diagnosis = fewer rejections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add the primary diagnosis. Omar is placed l5 avatar above the simulation.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L5 avatar above the simulation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to favourites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E11, e11, type 2 diabetes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"Specific primary diagnosis = fewer rejections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"Specific primary diagnosis = fewer rejections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Take the time you need; nothing here is timed. Choose the option you would defend to a colleague. The scenario uses fictional names and numbers.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"ehr-020",</w:t>
      </w:r>
    </w:p>
    <w:p>
      <w:pPr>
        <w:pStyle w:val="StoryboardCode"/>
      </w:pPr>
      <w:r>
        <w:t xml:space="preserve">  "title": "Add the primary diagnosis",</w:t>
      </w:r>
    </w:p>
    <w:p>
      <w:pPr>
        <w:pStyle w:val="StoryboardCode"/>
      </w:pPr>
      <w:r>
        <w:t xml:space="preserve">  "section": "Diagnosis",</w:t>
      </w:r>
    </w:p>
    <w:p>
      <w:pPr>
        <w:pStyle w:val="StoryboardCode"/>
      </w:pPr>
      <w:r>
        <w:t xml:space="preserve">  "node_id": "ehr-sC",</w:t>
      </w:r>
    </w:p>
    <w:p>
      <w:pPr>
        <w:pStyle w:val="StoryboardCode"/>
      </w:pPr>
      <w:r>
        <w:t xml:space="preserve">  "objective_ids": [</w:t>
      </w:r>
    </w:p>
    <w:p>
      <w:pPr>
        <w:pStyle w:val="StoryboardCode"/>
      </w:pPr>
      <w:r>
        <w:t xml:space="preserve">    "ehr-o2"</w:t>
      </w:r>
    </w:p>
    <w:p>
      <w:pPr>
        <w:pStyle w:val="StoryboardCode"/>
      </w:pPr>
      <w:r>
        <w:t xml:space="preserve">  ],</w:t>
      </w:r>
    </w:p>
    <w:p>
      <w:pPr>
        <w:pStyle w:val="StoryboardCode"/>
      </w:pPr>
      <w:r>
        <w:t xml:space="preserve">  "points": 10,</w:t>
      </w:r>
    </w:p>
    <w:p>
      <w:pPr>
        <w:pStyle w:val="StoryboardCode"/>
      </w:pPr>
      <w:r>
        <w:t xml:space="preserve">  "narration_script_id": "ehr-020",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ehr-020. Do not reuse source-video or source-deck imagery where the Phase 0 file prohibits it.</w:t>
      </w:r>
    </w:p>
    <w:p>
      <w:pPr/>
      <w:r>
        <w:t>────────────────────────────────────────────────────</w:t>
      </w:r>
    </w:p>
    <w:p>
      <w:pPr>
        <w:pStyle w:val="Heading3"/>
        <w:pageBreakBefore/>
      </w:pPr>
      <w:r>
        <w:t>ehr-030 — How to find an order</w:t>
      </w:r>
    </w:p>
    <w:p>
      <w:r>
        <w:t>Status: Draft — ready for SME review · Section / node: Orders / ehr-sD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02:30–03:00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find an order,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66 words / ≈ 28.3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ways to find an order. The Form Wizard checks a package before you commit. As you read, focus on the decision this information supports in your own role. The aim is a practical next action, not a phrase to memorise. Notice which part of this you would use first on shift. The aim is a decision you can repeat, not a phrase to recall.</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"ehr-030",</w:t>
      </w:r>
    </w:p>
    <w:p>
      <w:pPr>
        <w:pStyle w:val="StoryboardCode"/>
      </w:pPr>
      <w:r>
        <w:t xml:space="preserve">  "title": "How to find an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"points": 0,</w:t>
      </w:r>
    </w:p>
    <w:p>
      <w:pPr>
        <w:pStyle w:val="StoryboardCode"/>
      </w:pPr>
      <w:r>
        <w:t xml:space="preserve">  "narration_script_id": "ehr-030",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ehr-030. Do not reuse source-video or source-deck imagery where the Phase 0 file prohibits it.</w:t>
      </w:r>
    </w:p>
    <w:p>
      <w:pPr/>
      <w:r>
        <w:t>────────────────────────────────────────────────────</w:t>
      </w:r>
    </w:p>
    <w:p>
      <w:pPr>
        <w:pStyle w:val="Heading3"/>
        <w:pageBreakBefore/>
      </w:pPr>
      <w:r>
        <w:t>ehr-031 — Medication order</w:t>
      </w:r>
    </w:p>
    <w:p>
      <w:r>
        <w:t>Status: Draft — ready for SME review · Section / node: Orders / ehr-sD · Type: simulation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03:30–04:30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order isn't placed until you press Order."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medication order.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order isn't placed until you press Order."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order isn't placed until you press Order."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"ehr-031",</w:t>
      </w:r>
    </w:p>
    <w:p>
      <w:pPr>
        <w:pStyle w:val="StoryboardCode"/>
      </w:pPr>
      <w:r>
        <w:t xml:space="preserve">  "title": "Medication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15,</w:t>
      </w:r>
    </w:p>
    <w:p>
      <w:pPr>
        <w:pStyle w:val="StoryboardCode"/>
      </w:pPr>
      <w:r>
        <w:t xml:space="preserve">  "narration_script_id": "ehr-031",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ehr-031. Do not reuse source-video or source-deck imagery where the Phase 0 file prohibits it.</w:t>
      </w:r>
    </w:p>
    <w:p>
      <w:pPr/>
      <w:r>
        <w:t>────────────────────────────────────────────────────</w:t>
      </w:r>
    </w:p>
    <w:p>
      <w:pPr>
        <w:pStyle w:val="Heading3"/>
        <w:pageBreakBefore/>
      </w:pPr>
      <w:r>
        <w:t>ehr-032 — Lab package via Form Wizard</w:t>
      </w:r>
    </w:p>
    <w:p>
      <w:r>
        <w:t>Status: Draft — ready for SME review · Section / node: Orders / ehr-sD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lab package via form wizard.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"ehr-032",</w:t>
      </w:r>
    </w:p>
    <w:p>
      <w:pPr>
        <w:pStyle w:val="StoryboardCode"/>
      </w:pPr>
      <w:r>
        <w:t xml:space="preserve">  "title": "Lab package via Form Wizard",</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10,</w:t>
      </w:r>
    </w:p>
    <w:p>
      <w:pPr>
        <w:pStyle w:val="StoryboardCode"/>
      </w:pPr>
      <w:r>
        <w:t xml:space="preserve">  "narration_script_id": "ehr-032",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ehr-032. Do not reuse source-video or source-deck imagery where the Phase 0 file prohibits it.</w:t>
      </w:r>
    </w:p>
    <w:p>
      <w:pPr/>
      <w:r>
        <w:t>────────────────────────────────────────────────────</w:t>
      </w:r>
    </w:p>
    <w:p>
      <w:pPr>
        <w:pStyle w:val="Heading3"/>
        <w:pageBreakBefore/>
      </w:pPr>
      <w:r>
        <w:t>ehr-033 — Non-formulary</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1:40–4:50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non-formulary.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"ehr-033",</w:t>
      </w:r>
    </w:p>
    <w:p>
      <w:pPr>
        <w:pStyle w:val="StoryboardCode"/>
      </w:pPr>
      <w:r>
        <w:t xml:space="preserve">  "title": "Non-formulary",</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ehr-033. Do not reuse source-video or source-deck imagery where the Phase 0 file prohibits it.</w:t>
      </w:r>
    </w:p>
    <w:p>
      <w:pPr/>
      <w:r>
        <w:t>────────────────────────────────────────────────────</w:t>
      </w:r>
    </w:p>
    <w:p>
      <w:pPr>
        <w:pStyle w:val="Heading3"/>
        <w:pageBreakBefore/>
      </w:pPr>
      <w:r>
        <w:t>ehr-034 — Why link to a diagnosis</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Link to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link to a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Link to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Link to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Link to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"ehr-034",</w:t>
      </w:r>
    </w:p>
    <w:p>
      <w:pPr>
        <w:pStyle w:val="StoryboardCode"/>
      </w:pPr>
      <w:r>
        <w:t xml:space="preserve">  "title": "Why link to a diagnosis",</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ehr-034. Do not reuse source-video or source-deck imagery where the Phase 0 file prohibits it.</w:t>
      </w:r>
    </w:p>
    <w:p>
      <w:pPr/>
      <w:r>
        <w:t>────────────────────────────────────────────────────</w:t>
      </w:r>
    </w:p>
    <w:p>
      <w:pPr>
        <w:pStyle w:val="Heading3"/>
        <w:pageBreakBefore/>
      </w:pPr>
      <w:r>
        <w:t>ehr-040 — Consultation summary</w:t>
      </w:r>
    </w:p>
    <w:p>
      <w:r>
        <w:t>Status: Draft — ready for SME review · Section / node: Summary &amp; education / ehr-sE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06:20–07:00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consultation summary.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"ehr-040",</w:t>
      </w:r>
    </w:p>
    <w:p>
      <w:pPr>
        <w:pStyle w:val="StoryboardCode"/>
      </w:pPr>
      <w:r>
        <w:t xml:space="preserve">  "title": "Consultation summary",</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5,</w:t>
      </w:r>
    </w:p>
    <w:p>
      <w:pPr>
        <w:pStyle w:val="StoryboardCode"/>
      </w:pPr>
      <w:r>
        <w:t xml:space="preserve">  "narration_script_id": "ehr-040",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ehr-040. Do not reuse source-video or source-deck imagery where the Phase 0 file prohibits it.</w:t>
      </w:r>
    </w:p>
    <w:p>
      <w:pPr/>
      <w:r>
        <w:t>────────────────────────────────────────────────────</w:t>
      </w:r>
    </w:p>
    <w:p>
      <w:pPr>
        <w:pStyle w:val="Heading3"/>
        <w:pageBreakBefore/>
      </w:pPr>
      <w:r>
        <w:t>ehr-041 — SMS education</w:t>
      </w:r>
    </w:p>
    <w:p>
      <w:r>
        <w:t>Status: Draft — ready for SME review · Section / node: Summary &amp; education / ehr-sE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sms education.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The scenario uses fictional names and numbers.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"ehr-041",</w:t>
      </w:r>
    </w:p>
    <w:p>
      <w:pPr>
        <w:pStyle w:val="StoryboardCode"/>
      </w:pPr>
      <w:r>
        <w:t xml:space="preserve">  "title": "SMS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ehr-041. Do not reuse source-video or source-deck imagery where the Phase 0 file prohibits it.</w:t>
      </w:r>
    </w:p>
    <w:p>
      <w:pPr/>
      <w:r>
        <w:t>────────────────────────────────────────────────────</w:t>
      </w:r>
    </w:p>
    <w:p>
      <w:pPr>
        <w:pStyle w:val="Heading3"/>
        <w:pageBreakBefore/>
      </w:pPr>
      <w:r>
        <w:t>ehr-042 — Patient &amp; family education</w:t>
      </w:r>
    </w:p>
    <w:p>
      <w:r>
        <w:t>Status: Draft — ready for SME review · Section / node: Summary &amp; education / ehr-sE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patient &amp; family education, using a navy header, concise keyword cards and one Dark teal #006E78 highlight.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46 words / ≈ 19.7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Patient &amp; family education is required before you finish. As you read, focus on the decision this information supports in your own role. The aim is a practical next action, not a phrase to memorise.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"ehr-042",</w:t>
      </w:r>
    </w:p>
    <w:p>
      <w:pPr>
        <w:pStyle w:val="StoryboardCode"/>
      </w:pPr>
      <w:r>
        <w:t xml:space="preserve">  "title": "Patient &amp; family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"points": 0,</w:t>
      </w:r>
    </w:p>
    <w:p>
      <w:pPr>
        <w:pStyle w:val="StoryboardCode"/>
      </w:pPr>
      <w:r>
        <w:t xml:space="preserve">  "narration_script_id": "ehr-042",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ehr-042. Do not reuse source-video or source-deck imagery where the Phase 0 file prohibits it.</w:t>
      </w:r>
    </w:p>
    <w:p>
      <w:pPr/>
      <w:r>
        <w:t>────────────────────────────────────────────────────</w:t>
      </w:r>
    </w:p>
    <w:p>
      <w:pPr>
        <w:pStyle w:val="Heading3"/>
        <w:pageBreakBefore/>
      </w:pPr>
      <w:r>
        <w:t>ehr-050 — Internal referral + follow-up</w:t>
      </w:r>
    </w:p>
    <w:p>
      <w:r>
        <w:t>Status: Draft — ready for SME review · Section / node: Referral &amp; finish / ehr-sF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07:40–08:20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internal referral + follow-up.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follow-up toggle + interval. Step 6: Save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34 words / ≈ 14.6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Take the time you need; nothing here is timed.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"ehr-050",</w:t>
      </w:r>
    </w:p>
    <w:p>
      <w:pPr>
        <w:pStyle w:val="StoryboardCode"/>
      </w:pPr>
      <w:r>
        <w:t xml:space="preserve">  "title": "Internal referral + follow-up",</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ehr-050. Do not reuse source-video or source-deck imagery where the Phase 0 file prohibits it.</w:t>
      </w:r>
    </w:p>
    <w:p>
      <w:pPr/>
      <w:r>
        <w:t>────────────────────────────────────────────────────</w:t>
      </w:r>
    </w:p>
    <w:p>
      <w:pPr>
        <w:pStyle w:val="Heading3"/>
        <w:pageBreakBefore/>
      </w:pPr>
      <w:r>
        <w:t>ehr-051 — The whole workflow</w:t>
      </w:r>
    </w:p>
    <w:p>
      <w:r>
        <w:t>Status: Draft — ready for SME review · Section / node: Referral &amp; finish / ehr-sF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the whole workflow.</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"ehr-051",</w:t>
      </w:r>
    </w:p>
    <w:p>
      <w:pPr>
        <w:pStyle w:val="StoryboardCode"/>
      </w:pPr>
      <w:r>
        <w:t xml:space="preserve">  "title": "The whole workflow",</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"ehr-o5"</w:t>
      </w:r>
    </w:p>
    <w:p>
      <w:pPr>
        <w:pStyle w:val="StoryboardCode"/>
      </w:pPr>
      <w:r>
        <w:t xml:space="preserve">  ],</w:t>
      </w:r>
    </w:p>
    <w:p>
      <w:pPr>
        <w:pStyle w:val="StoryboardCode"/>
      </w:pPr>
      <w:r>
        <w:t xml:space="preserve">  "points": 10,</w:t>
      </w:r>
    </w:p>
    <w:p>
      <w:pPr>
        <w:pStyle w:val="StoryboardCode"/>
      </w:pPr>
      <w:r>
        <w:t xml:space="preserve">  "narration_script_id": "ehr-051",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ehr-051. Do not reuse source-video or source-deck imagery where the Phase 0 file prohibits it.</w:t>
      </w:r>
    </w:p>
    <w:p>
      <w:pPr/>
      <w:r>
        <w:t>────────────────────────────────────────────────────</w:t>
      </w:r>
    </w:p>
    <w:p>
      <w:pPr>
        <w:pStyle w:val="Heading3"/>
        <w:pageBreakBefore/>
      </w:pPr>
      <w:r>
        <w:t>ehr-052 — Complete the encounter</w:t>
      </w:r>
    </w:p>
    <w:p>
      <w:r>
        <w:t>Status: Draft — ready for SME review · Section / node: Referral &amp; finish / ehr-sF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complete the encounter,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44 words / ≈ 18.9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Completing the encounter. Where to get help. Keep the main point connected to a familiar task or conversation. That connection makes the information easier to use when it matters.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"ehr-052",</w:t>
      </w:r>
    </w:p>
    <w:p>
      <w:pPr>
        <w:pStyle w:val="StoryboardCode"/>
      </w:pPr>
      <w:r>
        <w:t xml:space="preserve">  "title": "Complete the encounter",</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ehr-052. Do not reuse source-video or source-deck imagery where the Phase 0 file prohibits it.</w:t>
      </w:r>
    </w:p>
    <w:p>
      <w:pPr/>
      <w:r>
        <w:t>────────────────────────────────────────────────────</w:t>
      </w:r>
    </w:p>
    <w:p>
      <w:pPr>
        <w:pStyle w:val="Heading3"/>
        <w:pageBreakBefore/>
      </w:pPr>
      <w:r>
        <w:t>ehr-090 — Results</w:t>
      </w:r>
    </w:p>
    <w:p>
      <w:r>
        <w:t>Status: Draft — ready for SME review · Section / node: Referral &amp; finish / ehr-sF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"ehr-090",</w:t>
      </w:r>
    </w:p>
    <w:p>
      <w:pPr>
        <w:pStyle w:val="StoryboardCode"/>
      </w:pPr>
      <w:r>
        <w:t xml:space="preserve">  "title": "Results",</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ehr-090. Do not reuse source-video or source-deck imagery where the Phase 0 file prohibits it.</w:t>
      </w:r>
    </w:p>
    <w:p>
      <w:pPr/>
      <w:r>
        <w:t>────────────────────────────────────────────────────</w:t>
      </w:r>
    </w:p>
    <w:p>
      <w:pPr>
        <w:pStyle w:val="Heading3"/>
        <w:pageBreakBefore/>
      </w:pPr>
      <w:r>
        <w:t>ehr-091 — Close</w:t>
      </w:r>
    </w:p>
    <w:p>
      <w:r>
        <w:t>Status: Draft — ready for SME review · Section / node: Referral &amp; finish / ehr-sF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ehr-pdf-quickref</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ehr-pdf-quickref: 1-page EHR consultation quick-reference card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Close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"ehr-091",</w:t>
      </w:r>
    </w:p>
    <w:p>
      <w:pPr>
        <w:pStyle w:val="StoryboardCode"/>
      </w:pPr>
      <w:r>
        <w:t xml:space="preserve">  "title": "Close",</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6E78"/>
          </w:tcPr>
          <w:p>
            <w:pPr>
              <w:spacing w:after="20"/>
            </w:pPr>
            <w:r>
              <w:rPr>
                <w:rFonts w:ascii="Montserrat" w:hAnsi="Montserrat"/>
                <w:b/>
                <w:color w:val="FFFFFF"/>
                <w:sz w:val="15"/>
              </w:rPr>
              <w:t>#</w:t>
            </w:r>
          </w:p>
        </w:tc>
        <w:tc>
          <w:tcPr>
            <w:tcW w:type="dxa" w:w="1162"/>
            <w:shd w:fill="006E78"/>
          </w:tcPr>
          <w:p>
            <w:pPr>
              <w:spacing w:after="20"/>
            </w:pPr>
            <w:r>
              <w:rPr>
                <w:rFonts w:ascii="Montserrat" w:hAnsi="Montserrat"/>
                <w:b/>
                <w:color w:val="FFFFFF"/>
                <w:sz w:val="15"/>
              </w:rPr>
              <w:t>Screen id</w:t>
            </w:r>
          </w:p>
        </w:tc>
        <w:tc>
          <w:tcPr>
            <w:tcW w:type="dxa" w:w="1162"/>
            <w:shd w:fill="006E78"/>
          </w:tcPr>
          <w:p>
            <w:pPr>
              <w:spacing w:after="20"/>
            </w:pPr>
            <w:r>
              <w:rPr>
                <w:rFonts w:ascii="Montserrat" w:hAnsi="Montserrat"/>
                <w:b/>
                <w:color w:val="FFFFFF"/>
                <w:sz w:val="15"/>
              </w:rPr>
              <w:t>Type</w:t>
            </w:r>
          </w:p>
        </w:tc>
        <w:tc>
          <w:tcPr>
            <w:tcW w:type="dxa" w:w="1162"/>
            <w:shd w:fill="006E78"/>
          </w:tcPr>
          <w:p>
            <w:pPr>
              <w:spacing w:after="20"/>
            </w:pPr>
            <w:r>
              <w:rPr>
                <w:rFonts w:ascii="Montserrat" w:hAnsi="Montserrat"/>
                <w:b/>
                <w:color w:val="FFFFFF"/>
                <w:sz w:val="15"/>
              </w:rPr>
              <w:t>Scored</w:t>
            </w:r>
          </w:p>
        </w:tc>
        <w:tc>
          <w:tcPr>
            <w:tcW w:type="dxa" w:w="1162"/>
            <w:shd w:fill="006E78"/>
          </w:tcPr>
          <w:p>
            <w:pPr>
              <w:spacing w:after="20"/>
            </w:pPr>
            <w:r>
              <w:rPr>
                <w:rFonts w:ascii="Montserrat" w:hAnsi="Montserrat"/>
                <w:b/>
                <w:color w:val="FFFFFF"/>
                <w:sz w:val="15"/>
              </w:rPr>
              <w:t>Pts</w:t>
            </w:r>
          </w:p>
        </w:tc>
        <w:tc>
          <w:tcPr>
            <w:tcW w:type="dxa" w:w="1162"/>
            <w:shd w:fill="006E78"/>
          </w:tcPr>
          <w:p>
            <w:pPr>
              <w:spacing w:after="20"/>
            </w:pPr>
            <w:r>
              <w:rPr>
                <w:rFonts w:ascii="Montserrat" w:hAnsi="Montserrat"/>
                <w:b/>
                <w:color w:val="FFFFFF"/>
                <w:sz w:val="15"/>
              </w:rPr>
              <w:t>On-screen words</w:t>
            </w:r>
          </w:p>
        </w:tc>
        <w:tc>
          <w:tcPr>
            <w:tcW w:type="dxa" w:w="1162"/>
            <w:shd w:fill="006E78"/>
          </w:tcPr>
          <w:p>
            <w:pPr>
              <w:spacing w:after="20"/>
            </w:pPr>
            <w:r>
              <w:rPr>
                <w:rFonts w:ascii="Montserrat" w:hAnsi="Montserrat"/>
                <w:b/>
                <w:color w:val="FFFFFF"/>
                <w:sz w:val="15"/>
              </w:rPr>
              <w:t>Narration words</w:t>
            </w:r>
          </w:p>
        </w:tc>
        <w:tc>
          <w:tcPr>
            <w:tcW w:type="dxa" w:w="1162"/>
            <w:shd w:fill="006E78"/>
          </w:tcPr>
          <w:p>
            <w:pPr>
              <w:spacing w:after="20"/>
            </w:pPr>
            <w:r>
              <w:rPr>
                <w:rFonts w:ascii="Montserrat" w:hAnsi="Montserrat"/>
                <w:b/>
                <w:color w:val="FFFFFF"/>
                <w:sz w:val="15"/>
              </w:rPr>
              <w:t>Est. sec</w:t>
            </w:r>
          </w:p>
        </w:tc>
        <w:tc>
          <w:tcPr>
            <w:tcW w:type="dxa" w:w="1162"/>
            <w:shd w:fill="006E78"/>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ehr-000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ehr-001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ehr-002</w:t>
            </w:r>
          </w:p>
        </w:tc>
        <w:tc>
          <w:tcPr>
            <w:tcW w:type="dxa" w:w="1162"/>
          </w:tcPr>
          <w:p>
            <w:pPr>
              <w:spacing w:after="20"/>
            </w:pPr>
            <w:r>
              <w:rPr>
                <w:rFonts w:ascii="Montserrat" w:hAnsi="Montserrat"/>
                <w:sz w:val="15"/>
              </w:rPr>
              <w:t>timeline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71</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ehr-010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ehr-011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62</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ehr-012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ehr-020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ehr-030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66</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ehr-031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ehr-032</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ehr-033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ehr-034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ehr-040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ehr-041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ehr-042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46</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ehr-050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ehr-051</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ehr-052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ehr-090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ehr-091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90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709</w:t>
            </w:r>
          </w:p>
        </w:tc>
        <w:tc>
          <w:tcPr>
            <w:tcW w:type="dxa" w:w="1162"/>
          </w:tcPr>
          <w:p>
            <w:pPr>
              <w:spacing w:after="20"/>
            </w:pPr>
            <w:r>
              <w:rPr>
                <w:rFonts w:ascii="Montserrat" w:hAnsi="Montserrat"/>
                <w:sz w:val="15"/>
              </w:rPr>
              <w:t>304 ≈ 5.1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Used on</w:t>
            </w:r>
          </w:p>
        </w:tc>
        <w:tc>
          <w:tcPr>
            <w:tcW w:type="dxa" w:w="1742"/>
            <w:shd w:fill="006E78"/>
          </w:tcPr>
          <w:p>
            <w:pPr>
              <w:spacing w:after="20"/>
            </w:pPr>
            <w:r>
              <w:rPr>
                <w:rFonts w:ascii="Montserrat" w:hAnsi="Montserrat"/>
                <w:b/>
                <w:color w:val="FFFFFF"/>
                <w:sz w:val="15"/>
              </w:rPr>
              <w:t>Source</w:t>
            </w:r>
          </w:p>
        </w:tc>
        <w:tc>
          <w:tcPr>
            <w:tcW w:type="dxa" w:w="1742"/>
            <w:shd w:fill="006E78"/>
          </w:tcPr>
          <w:p>
            <w:pPr>
              <w:spacing w:after="20"/>
            </w:pPr>
            <w:r>
              <w:rPr>
                <w:rFonts w:ascii="Montserrat" w:hAnsi="Montserrat"/>
                <w:b/>
                <w:color w:val="FFFFFF"/>
                <w:sz w:val="15"/>
              </w:rPr>
              <w:t>Alt text written?</w:t>
            </w:r>
          </w:p>
        </w:tc>
        <w:tc>
          <w:tcPr>
            <w:tcW w:type="dxa" w:w="1742"/>
            <w:shd w:fill="006E78"/>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capture checklist only; not an EHR screenshot and not a substitute for B2 test-environment assets.</w:t>
            </w:r>
          </w:p>
        </w:tc>
      </w:tr>
      <w:tr>
        <w:tc>
          <w:tcPr>
            <w:tcW w:type="dxa" w:w="1742"/>
          </w:tcPr>
          <w:p>
            <w:pPr>
              <w:spacing w:after="20"/>
            </w:pPr>
            <w:r>
              <w:rPr>
                <w:rFonts w:ascii="Montserrat" w:hAnsi="Montserrat"/>
                <w:sz w:val="15"/>
              </w:rPr>
              <w:t>ehr-pdf-quickref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ehr-091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ehr-vid-walkthrough (optional)</w:t>
            </w:r>
          </w:p>
        </w:tc>
        <w:tc>
          <w:tcPr>
            <w:tcW w:type="dxa" w:w="1742"/>
          </w:tcPr>
          <w:p>
            <w:pPr>
              <w:spacing w:after="20"/>
            </w:pPr>
            <w:r>
              <w:rPr>
                <w:rFonts w:ascii="Montserrat" w:hAnsi="Montserrat"/>
                <w:sz w:val="15"/>
              </w:rPr>
              <w:t>MP4 + VTT</w:t>
            </w:r>
          </w:p>
        </w:tc>
        <w:tc>
          <w:tcPr>
            <w:tcW w:type="dxa" w:w="1742"/>
          </w:tcPr>
          <w:p>
            <w:pPr>
              <w:spacing w:after="20"/>
            </w:pPr>
            <w:r>
              <w:rPr>
                <w:rFonts w:ascii="Montserrat" w:hAnsi="Montserrat"/>
                <w:sz w:val="15"/>
              </w:rPr>
              <w:t>ehr-060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6E78"/>
          </w:tcPr>
          <w:p>
            <w:pPr>
              <w:spacing w:after="20"/>
            </w:pPr>
            <w:r>
              <w:rPr>
                <w:rFonts w:ascii="Montserrat" w:hAnsi="Montserrat"/>
                <w:b/>
                <w:color w:val="FFFFFF"/>
                <w:sz w:val="15"/>
              </w:rPr>
              <w:t>#</w:t>
            </w:r>
          </w:p>
        </w:tc>
        <w:tc>
          <w:tcPr>
            <w:tcW w:type="dxa" w:w="2091"/>
            <w:shd w:fill="006E78"/>
          </w:tcPr>
          <w:p>
            <w:pPr>
              <w:spacing w:after="20"/>
            </w:pPr>
            <w:r>
              <w:rPr>
                <w:rFonts w:ascii="Montserrat" w:hAnsi="Montserrat"/>
                <w:b/>
                <w:color w:val="FFFFFF"/>
                <w:sz w:val="15"/>
              </w:rPr>
              <w:t>Screen id</w:t>
            </w:r>
          </w:p>
        </w:tc>
        <w:tc>
          <w:tcPr>
            <w:tcW w:type="dxa" w:w="2091"/>
            <w:shd w:fill="006E78"/>
          </w:tcPr>
          <w:p>
            <w:pPr>
              <w:spacing w:after="20"/>
            </w:pPr>
            <w:r>
              <w:rPr>
                <w:rFonts w:ascii="Montserrat" w:hAnsi="Montserrat"/>
                <w:b/>
                <w:color w:val="FFFFFF"/>
                <w:sz w:val="15"/>
              </w:rPr>
              <w:t>Question</w:t>
            </w:r>
          </w:p>
        </w:tc>
        <w:tc>
          <w:tcPr>
            <w:tcW w:type="dxa" w:w="2091"/>
            <w:shd w:fill="006E78"/>
          </w:tcPr>
          <w:p>
            <w:pPr>
              <w:spacing w:after="20"/>
            </w:pPr>
            <w:r>
              <w:rPr>
                <w:rFonts w:ascii="Montserrat" w:hAnsi="Montserrat"/>
                <w:b/>
                <w:color w:val="FFFFFF"/>
                <w:sz w:val="15"/>
              </w:rPr>
              <w:t>Phase 0 owner</w:t>
            </w:r>
          </w:p>
        </w:tc>
        <w:tc>
          <w:tcPr>
            <w:tcW w:type="dxa" w:w="2091"/>
            <w:shd w:fill="006E78"/>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Patient identifiers in IT.mp4 (5:10–6:10 full record; 7:10–7:20 phone; 8:30 ID)</w:t>
            </w:r>
          </w:p>
        </w:tc>
        <w:tc>
          <w:tcPr>
            <w:tcW w:type="dxa" w:w="2091"/>
          </w:tcPr>
          <w:p>
            <w:pPr>
              <w:spacing w:after="20"/>
            </w:pPr>
            <w:r>
              <w:rPr>
                <w:rFonts w:ascii="Montserrat" w:hAnsi="Montserrat"/>
                <w:sz w:val="15"/>
              </w:rPr>
              <w:t>B1 · IT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Test environment + test patient ("Test Simplified Template Launch" or new) for all new screenshots</w:t>
            </w:r>
          </w:p>
        </w:tc>
        <w:tc>
          <w:tcPr>
            <w:tcW w:type="dxa" w:w="2091"/>
          </w:tcPr>
          <w:p>
            <w:pPr>
              <w:spacing w:after="20"/>
            </w:pPr>
            <w:r>
              <w:rPr>
                <w:rFonts w:ascii="Montserrat" w:hAnsi="Montserrat"/>
                <w:sz w:val="15"/>
              </w:rPr>
              <w:t>B2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EHR product name and version</w:t>
            </w:r>
          </w:p>
        </w:tc>
        <w:tc>
          <w:tcPr>
            <w:tcW w:type="dxa" w:w="2091"/>
          </w:tcPr>
          <w:p>
            <w:pPr>
              <w:spacing w:after="20"/>
            </w:pPr>
            <w:r>
              <w:rPr>
                <w:rFonts w:ascii="Montserrat" w:hAnsi="Montserrat"/>
                <w:sz w:val="15"/>
              </w:rPr>
              <w:t>B3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Mandatory fields before completing a consultation</w:t>
            </w:r>
          </w:p>
        </w:tc>
        <w:tc>
          <w:tcPr>
            <w:tcW w:type="dxa" w:w="2091"/>
          </w:tcPr>
          <w:p>
            <w:pPr>
              <w:spacing w:after="20"/>
            </w:pPr>
            <w:r>
              <w:rPr>
                <w:rFonts w:ascii="Montserrat" w:hAnsi="Montserrat"/>
                <w:sz w:val="15"/>
              </w:rPr>
              <w:t>B4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Button and screen names (Today's consultation, Add Diagnosis, Order History, Form Wizard, Consultation Summary, Download and Print, Send SMS, Referral)</w:t>
            </w:r>
          </w:p>
        </w:tc>
        <w:tc>
          <w:tcPr>
            <w:tcW w:type="dxa" w:w="2091"/>
          </w:tcPr>
          <w:p>
            <w:pPr>
              <w:spacing w:after="20"/>
            </w:pPr>
            <w:r>
              <w:rPr>
                <w:rFonts w:ascii="Montserrat" w:hAnsi="Montserrat"/>
                <w:sz w:val="15"/>
              </w:rPr>
              <w:t>B5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Medication and lab examples (lornoxicam, diclofenac, Fevadol non-formulary, Augmentin; CBC, TSH, ECG; vitamin D, "hair package")</w:t>
            </w:r>
          </w:p>
        </w:tc>
        <w:tc>
          <w:tcPr>
            <w:tcW w:type="dxa" w:w="2091"/>
          </w:tcPr>
          <w:p>
            <w:pPr>
              <w:spacing w:after="20"/>
            </w:pPr>
            <w:r>
              <w:rPr>
                <w:rFonts w:ascii="Montserrat" w:hAnsi="Montserrat"/>
                <w:sz w:val="15"/>
              </w:rPr>
              <w:t>B6 · Pharmacy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disclaimer</w:t>
            </w:r>
          </w:p>
        </w:tc>
        <w:tc>
          <w:tcPr>
            <w:tcW w:type="dxa" w:w="2091"/>
          </w:tcPr>
          <w:p>
            <w:pPr>
              <w:spacing w:after="20"/>
            </w:pPr>
            <w:r>
              <w:rPr>
                <w:rFonts w:ascii="Montserrat" w:hAnsi="Montserrat"/>
                <w:sz w:val="15"/>
              </w:rPr>
              <w:t>B7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SMS education: department list and ICD-10 linked leaflets</w:t>
            </w:r>
          </w:p>
        </w:tc>
        <w:tc>
          <w:tcPr>
            <w:tcW w:type="dxa" w:w="2091"/>
          </w:tcPr>
          <w:p>
            <w:pPr>
              <w:spacing w:after="20"/>
            </w:pPr>
            <w:r>
              <w:rPr>
                <w:rFonts w:ascii="Montserrat" w:hAnsi="Montserrat"/>
                <w:sz w:val="15"/>
              </w:rPr>
              <w:t>B8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Referral timing options (next available, within a week, two weeks, a month) and internal vs external</w:t>
            </w:r>
          </w:p>
        </w:tc>
        <w:tc>
          <w:tcPr>
            <w:tcW w:type="dxa" w:w="2091"/>
          </w:tcPr>
          <w:p>
            <w:pPr>
              <w:spacing w:after="20"/>
            </w:pPr>
            <w:r>
              <w:rPr>
                <w:rFonts w:ascii="Montserrat" w:hAnsi="Montserrat"/>
                <w:sz w:val="15"/>
              </w:rPr>
              <w:t>B9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Sick-leave panel (printing disabled)</w:t>
            </w:r>
          </w:p>
        </w:tc>
        <w:tc>
          <w:tcPr>
            <w:tcW w:type="dxa" w:w="2091"/>
          </w:tcPr>
          <w:p>
            <w:pPr>
              <w:spacing w:after="20"/>
            </w:pPr>
            <w:r>
              <w:rPr>
                <w:rFonts w:ascii="Montserrat" w:hAnsi="Montserrat"/>
                <w:sz w:val="15"/>
              </w:rPr>
              <w:t>B10 · EHR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Term</w:t>
            </w:r>
          </w:p>
        </w:tc>
        <w:tc>
          <w:tcPr>
            <w:tcW w:type="dxa" w:w="3485"/>
            <w:shd w:fill="006E78"/>
          </w:tcPr>
          <w:p>
            <w:pPr>
              <w:spacing w:after="20"/>
            </w:pPr>
            <w:r>
              <w:rPr>
                <w:rFonts w:ascii="Montserrat" w:hAnsi="Montserrat"/>
                <w:b/>
                <w:color w:val="FFFFFF"/>
                <w:sz w:val="15"/>
              </w:rPr>
              <w:t>Say it as</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(11 scored / 90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MC-SB-08 v0.2 · Module 08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MC-SB-08 v0.2  |  MODULE 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