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7C0041"/>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05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7C0041"/>
          </w:tcPr>
          <w:p>
            <w:r>
              <w:rPr>
                <w:b/>
                <w:color w:val="FFFFFF"/>
              </w:rPr>
              <w:t>Document</w:t>
            </w:r>
          </w:p>
        </w:tc>
        <w:tc>
          <w:tcPr>
            <w:tcW w:type="dxa" w:w="5227"/>
          </w:tcPr>
          <w:p>
            <w:r>
              <w:rPr>
                <w:sz w:val="17"/>
              </w:rPr>
              <w:t>MC-SB-05 · storyboard review rendering</w:t>
            </w:r>
          </w:p>
        </w:tc>
      </w:tr>
      <w:tr>
        <w:tc>
          <w:tcPr>
            <w:tcW w:type="dxa" w:w="5227"/>
            <w:shd w:fill="7C0041"/>
          </w:tcPr>
          <w:p>
            <w:r>
              <w:rPr>
                <w:b/>
                <w:color w:val="FFFFFF"/>
              </w:rPr>
              <w:t>Revision</w:t>
            </w:r>
          </w:p>
        </w:tc>
        <w:tc>
          <w:tcPr>
            <w:tcW w:type="dxa" w:w="5227"/>
          </w:tcPr>
          <w:p>
            <w:r>
              <w:rPr>
                <w:sz w:val="17"/>
              </w:rPr>
              <w:t>v0.2 · 14 October 2026</w:t>
            </w:r>
          </w:p>
        </w:tc>
      </w:tr>
      <w:tr>
        <w:tc>
          <w:tcPr>
            <w:tcW w:type="dxa" w:w="5227"/>
            <w:shd w:fill="7C0041"/>
          </w:tcPr>
          <w:p>
            <w:r>
              <w:rPr>
                <w:b/>
                <w:color w:val="FFFFFF"/>
              </w:rPr>
              <w:t>Status</w:t>
            </w:r>
          </w:p>
        </w:tc>
        <w:tc>
          <w:tcPr>
            <w:tcW w:type="dxa" w:w="5227"/>
          </w:tcPr>
          <w:p>
            <w:r>
              <w:rPr>
                <w:sz w:val="17"/>
              </w:rPr>
              <w:t>Draft for SME review — not approved course content</w:t>
            </w:r>
          </w:p>
        </w:tc>
      </w:tr>
      <w:tr>
        <w:tc>
          <w:tcPr>
            <w:tcW w:type="dxa" w:w="5227"/>
            <w:shd w:fill="7C0041"/>
          </w:tcPr>
          <w:p>
            <w:r>
              <w:rPr>
                <w:b/>
                <w:color w:val="FFFFFF"/>
              </w:rPr>
              <w:t>Source of truth</w:t>
            </w:r>
          </w:p>
        </w:tc>
        <w:tc>
          <w:tcPr>
            <w:tcW w:type="dxa" w:w="5227"/>
          </w:tcPr>
          <w:p>
            <w:r>
              <w:rPr>
                <w:sz w:val="17"/>
              </w:rPr>
              <w:t>05_*/storyboard/storyboard.md (Markdown + JSON)</w:t>
            </w:r>
          </w:p>
        </w:tc>
      </w:tr>
      <w:tr>
        <w:tc>
          <w:tcPr>
            <w:tcW w:type="dxa" w:w="5227"/>
            <w:shd w:fill="7C0041"/>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7C0041"/>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05 RCM Part A: Documentation &amp; ICD-10 Coding That Gets Approved</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05 — My Clinic — RCM Part A: Documentation &amp; ICD-10 Coding That Gets Approved</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rcma-</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RCM lead (lead); Coding lead; Payer Relations; Medical Director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dentists</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(80 / 100)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10 / 100 (Phase 4 expectation: 10 / 100)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elearning-course/md/05_rcm-billing-documentation-script.md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Collaborative burgundy #7C0041</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D4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6.3 min; Phase 3 per-screen targets: 6.4 min; Phase 3 rough module estimate: ~8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Objective id</w:t>
            </w:r>
          </w:p>
        </w:tc>
        <w:tc>
          <w:tcPr>
            <w:tcW w:type="dxa" w:w="3485"/>
            <w:shd w:fill="7C0041"/>
          </w:tcPr>
          <w:p>
            <w:pPr>
              <w:spacing w:after="20"/>
            </w:pPr>
            <w:r>
              <w:rPr>
                <w:rFonts w:ascii="Montserrat" w:hAnsi="Montserrat"/>
                <w:b/>
                <w:color w:val="FFFFFF"/>
                <w:sz w:val="15"/>
              </w:rPr>
              <w:t>Objective</w:t>
            </w:r>
          </w:p>
        </w:tc>
        <w:tc>
          <w:tcPr>
            <w:tcW w:type="dxa" w:w="3485"/>
            <w:shd w:fill="7C0041"/>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rcma-o1</w:t>
            </w:r>
          </w:p>
        </w:tc>
        <w:tc>
          <w:tcPr>
            <w:tcW w:type="dxa" w:w="3485"/>
          </w:tcPr>
          <w:p>
            <w:pPr>
              <w:spacing w:after="20"/>
            </w:pPr>
            <w:r>
              <w:rPr>
                <w:rFonts w:ascii="Montserrat" w:hAnsi="Montserrat"/>
                <w:sz w:val="15"/>
              </w:rPr>
              <w:t>Document a complete, medically necessary clinical picture.</w:t>
            </w:r>
          </w:p>
        </w:tc>
        <w:tc>
          <w:tcPr>
            <w:tcW w:type="dxa" w:w="3485"/>
          </w:tcPr>
          <w:p>
            <w:pPr>
              <w:spacing w:after="20"/>
            </w:pPr>
            <w:r>
              <w:rPr>
                <w:rFonts w:ascii="Montserrat" w:hAnsi="Montserrat"/>
                <w:sz w:val="15"/>
              </w:rPr>
              <w:t>rcma-012, rcma-013</w:t>
            </w:r>
          </w:p>
        </w:tc>
      </w:tr>
      <w:tr>
        <w:tc>
          <w:tcPr>
            <w:tcW w:type="dxa" w:w="3485"/>
          </w:tcPr>
          <w:p>
            <w:pPr>
              <w:spacing w:after="20"/>
            </w:pPr>
            <w:r>
              <w:rPr>
                <w:rFonts w:ascii="Montserrat" w:hAnsi="Montserrat"/>
                <w:sz w:val="15"/>
              </w:rPr>
              <w:t>rcma-o2</w:t>
            </w:r>
          </w:p>
        </w:tc>
        <w:tc>
          <w:tcPr>
            <w:tcW w:type="dxa" w:w="3485"/>
          </w:tcPr>
          <w:p>
            <w:pPr>
              <w:spacing w:after="20"/>
            </w:pPr>
            <w:r>
              <w:rPr>
                <w:rFonts w:ascii="Montserrat" w:hAnsi="Montserrat"/>
                <w:sz w:val="15"/>
              </w:rPr>
              <w:t>Select a specific, covered ICD-10 code, using a provisional diagnosis when justified.</w:t>
            </w:r>
          </w:p>
        </w:tc>
        <w:tc>
          <w:tcPr>
            <w:tcW w:type="dxa" w:w="3485"/>
          </w:tcPr>
          <w:p>
            <w:pPr>
              <w:spacing w:after="20"/>
            </w:pPr>
            <w:r>
              <w:rPr>
                <w:rFonts w:ascii="Montserrat" w:hAnsi="Montserrat"/>
                <w:sz w:val="15"/>
              </w:rPr>
              <w:t>rcma-021, rcma-023</w:t>
            </w:r>
          </w:p>
        </w:tc>
      </w:tr>
      <w:tr>
        <w:tc>
          <w:tcPr>
            <w:tcW w:type="dxa" w:w="3485"/>
          </w:tcPr>
          <w:p>
            <w:pPr>
              <w:spacing w:after="20"/>
            </w:pPr>
            <w:r>
              <w:rPr>
                <w:rFonts w:ascii="Montserrat" w:hAnsi="Montserrat"/>
                <w:sz w:val="15"/>
              </w:rPr>
              <w:t>rcma-o3</w:t>
            </w:r>
          </w:p>
        </w:tc>
        <w:tc>
          <w:tcPr>
            <w:tcW w:type="dxa" w:w="3485"/>
          </w:tcPr>
          <w:p>
            <w:pPr>
              <w:spacing w:after="20"/>
            </w:pPr>
            <w:r>
              <w:rPr>
                <w:rFonts w:ascii="Montserrat" w:hAnsi="Montserrat"/>
                <w:sz w:val="15"/>
              </w:rPr>
              <w:t>Avoid defensive medicine and unjustified early repetition of tests.</w:t>
            </w:r>
          </w:p>
        </w:tc>
        <w:tc>
          <w:tcPr>
            <w:tcW w:type="dxa" w:w="3485"/>
          </w:tcPr>
          <w:p>
            <w:pPr>
              <w:spacing w:after="20"/>
            </w:pPr>
            <w:r>
              <w:rPr>
                <w:rFonts w:ascii="Montserrat" w:hAnsi="Montserrat"/>
                <w:sz w:val="15"/>
              </w:rPr>
              <w:t>rcma-031, rcma-032, rcma-033</w:t>
            </w:r>
          </w:p>
        </w:tc>
      </w:tr>
      <w:tr>
        <w:tc>
          <w:tcPr>
            <w:tcW w:type="dxa" w:w="3485"/>
          </w:tcPr>
          <w:p>
            <w:pPr>
              <w:spacing w:after="20"/>
            </w:pPr>
            <w:r>
              <w:rPr>
                <w:rFonts w:ascii="Montserrat" w:hAnsi="Montserrat"/>
                <w:sz w:val="15"/>
              </w:rPr>
              <w:t>rcma-o4</w:t>
            </w:r>
          </w:p>
        </w:tc>
        <w:tc>
          <w:tcPr>
            <w:tcW w:type="dxa" w:w="3485"/>
          </w:tcPr>
          <w:p>
            <w:pPr>
              <w:spacing w:after="20"/>
            </w:pPr>
            <w:r>
              <w:rPr>
                <w:rFonts w:ascii="Montserrat" w:hAnsi="Montserrat"/>
                <w:sz w:val="15"/>
              </w:rPr>
              <w:t>Classify rejection causes and apply coverage awareness.</w:t>
            </w:r>
          </w:p>
        </w:tc>
        <w:tc>
          <w:tcPr>
            <w:tcW w:type="dxa" w:w="3485"/>
          </w:tcPr>
          <w:p>
            <w:pPr>
              <w:spacing w:after="20"/>
            </w:pPr>
            <w:r>
              <w:rPr>
                <w:rFonts w:ascii="Montserrat" w:hAnsi="Montserrat"/>
                <w:sz w:val="15"/>
              </w:rPr>
              <w:t>rcma-040, rcma-042</w:t>
            </w:r>
          </w:p>
        </w:tc>
      </w:tr>
      <w:tr>
        <w:tc>
          <w:tcPr>
            <w:tcW w:type="dxa" w:w="3485"/>
          </w:tcPr>
          <w:p>
            <w:pPr>
              <w:spacing w:after="20"/>
            </w:pPr>
            <w:r>
              <w:rPr>
                <w:rFonts w:ascii="Montserrat" w:hAnsi="Montserrat"/>
                <w:sz w:val="15"/>
              </w:rPr>
              <w:t>rcma-o5</w:t>
            </w:r>
          </w:p>
        </w:tc>
        <w:tc>
          <w:tcPr>
            <w:tcW w:type="dxa" w:w="3485"/>
          </w:tcPr>
          <w:p>
            <w:pPr>
              <w:spacing w:after="20"/>
            </w:pPr>
            <w:r>
              <w:rPr>
                <w:rFonts w:ascii="Montserrat" w:hAnsi="Montserrat"/>
                <w:sz w:val="15"/>
              </w:rPr>
              <w:t>Improve a weak consultation note so that it is clear, strong and defensible.</w:t>
            </w:r>
          </w:p>
        </w:tc>
        <w:tc>
          <w:tcPr>
            <w:tcW w:type="dxa" w:w="3485"/>
          </w:tcPr>
          <w:p>
            <w:pPr>
              <w:spacing w:after="20"/>
            </w:pPr>
            <w:r>
              <w:rPr>
                <w:rFonts w:ascii="Montserrat" w:hAnsi="Montserrat"/>
                <w:sz w:val="15"/>
              </w:rPr>
              <w:t>rcma-050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Node id</w:t>
            </w:r>
          </w:p>
        </w:tc>
        <w:tc>
          <w:tcPr>
            <w:tcW w:type="dxa" w:w="3485"/>
            <w:shd w:fill="7C0041"/>
          </w:tcPr>
          <w:p>
            <w:pPr>
              <w:spacing w:after="20"/>
            </w:pPr>
            <w:r>
              <w:rPr>
                <w:rFonts w:ascii="Montserrat" w:hAnsi="Montserrat"/>
                <w:b/>
                <w:color w:val="FFFFFF"/>
                <w:sz w:val="15"/>
              </w:rPr>
              <w:t>Section title</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rcma-sA</w:t>
            </w:r>
          </w:p>
        </w:tc>
        <w:tc>
          <w:tcPr>
            <w:tcW w:type="dxa" w:w="3485"/>
          </w:tcPr>
          <w:p>
            <w:pPr>
              <w:spacing w:after="20"/>
            </w:pPr>
            <w:r>
              <w:rPr>
                <w:rFonts w:ascii="Montserrat" w:hAnsi="Montserrat"/>
                <w:sz w:val="15"/>
              </w:rPr>
              <w:t>Why it matters</w:t>
            </w:r>
          </w:p>
        </w:tc>
        <w:tc>
          <w:tcPr>
            <w:tcW w:type="dxa" w:w="3485"/>
          </w:tcPr>
          <w:p>
            <w:pPr>
              <w:spacing w:after="20"/>
            </w:pPr>
            <w:r>
              <w:rPr>
                <w:rFonts w:ascii="Montserrat" w:hAnsi="Montserrat"/>
                <w:sz w:val="15"/>
              </w:rPr>
              <w:t>rcma-000–rcma-002</w:t>
            </w:r>
          </w:p>
        </w:tc>
      </w:tr>
      <w:tr>
        <w:tc>
          <w:tcPr>
            <w:tcW w:type="dxa" w:w="3485"/>
          </w:tcPr>
          <w:p>
            <w:pPr>
              <w:spacing w:after="20"/>
            </w:pPr>
            <w:r>
              <w:rPr>
                <w:rFonts w:ascii="Montserrat" w:hAnsi="Montserrat"/>
                <w:sz w:val="15"/>
              </w:rPr>
              <w:t>rcma-sB</w:t>
            </w:r>
          </w:p>
        </w:tc>
        <w:tc>
          <w:tcPr>
            <w:tcW w:type="dxa" w:w="3485"/>
          </w:tcPr>
          <w:p>
            <w:pPr>
              <w:spacing w:after="20"/>
            </w:pPr>
            <w:r>
              <w:rPr>
                <w:rFonts w:ascii="Montserrat" w:hAnsi="Montserrat"/>
                <w:sz w:val="15"/>
              </w:rPr>
              <w:t>Documentation strategy</w:t>
            </w:r>
          </w:p>
        </w:tc>
        <w:tc>
          <w:tcPr>
            <w:tcW w:type="dxa" w:w="3485"/>
          </w:tcPr>
          <w:p>
            <w:pPr>
              <w:spacing w:after="20"/>
            </w:pPr>
            <w:r>
              <w:rPr>
                <w:rFonts w:ascii="Montserrat" w:hAnsi="Montserrat"/>
                <w:sz w:val="15"/>
              </w:rPr>
              <w:t>rcma-010–rcma-013</w:t>
            </w:r>
          </w:p>
        </w:tc>
      </w:tr>
      <w:tr>
        <w:tc>
          <w:tcPr>
            <w:tcW w:type="dxa" w:w="3485"/>
          </w:tcPr>
          <w:p>
            <w:pPr>
              <w:spacing w:after="20"/>
            </w:pPr>
            <w:r>
              <w:rPr>
                <w:rFonts w:ascii="Montserrat" w:hAnsi="Montserrat"/>
                <w:sz w:val="15"/>
              </w:rPr>
              <w:t>rcma-sC</w:t>
            </w:r>
          </w:p>
        </w:tc>
        <w:tc>
          <w:tcPr>
            <w:tcW w:type="dxa" w:w="3485"/>
          </w:tcPr>
          <w:p>
            <w:pPr>
              <w:spacing w:after="20"/>
            </w:pPr>
            <w:r>
              <w:rPr>
                <w:rFonts w:ascii="Montserrat" w:hAnsi="Montserrat"/>
                <w:sz w:val="15"/>
              </w:rPr>
              <w:t>ICD-10 coding</w:t>
            </w:r>
          </w:p>
        </w:tc>
        <w:tc>
          <w:tcPr>
            <w:tcW w:type="dxa" w:w="3485"/>
          </w:tcPr>
          <w:p>
            <w:pPr>
              <w:spacing w:after="20"/>
            </w:pPr>
            <w:r>
              <w:rPr>
                <w:rFonts w:ascii="Montserrat" w:hAnsi="Montserrat"/>
                <w:sz w:val="15"/>
              </w:rPr>
              <w:t>rcma-020–rcma-023</w:t>
            </w:r>
          </w:p>
        </w:tc>
      </w:tr>
      <w:tr>
        <w:tc>
          <w:tcPr>
            <w:tcW w:type="dxa" w:w="3485"/>
          </w:tcPr>
          <w:p>
            <w:pPr>
              <w:spacing w:after="20"/>
            </w:pPr>
            <w:r>
              <w:rPr>
                <w:rFonts w:ascii="Montserrat" w:hAnsi="Montserrat"/>
                <w:sz w:val="15"/>
              </w:rPr>
              <w:t>rcma-sD</w:t>
            </w:r>
          </w:p>
        </w:tc>
        <w:tc>
          <w:tcPr>
            <w:tcW w:type="dxa" w:w="3485"/>
          </w:tcPr>
          <w:p>
            <w:pPr>
              <w:spacing w:after="20"/>
            </w:pPr>
            <w:r>
              <w:rPr>
                <w:rFonts w:ascii="Montserrat" w:hAnsi="Montserrat"/>
                <w:sz w:val="15"/>
              </w:rPr>
              <w:t>Defensive medicine &amp; ordering</w:t>
            </w:r>
          </w:p>
        </w:tc>
        <w:tc>
          <w:tcPr>
            <w:tcW w:type="dxa" w:w="3485"/>
          </w:tcPr>
          <w:p>
            <w:pPr>
              <w:spacing w:after="20"/>
            </w:pPr>
            <w:r>
              <w:rPr>
                <w:rFonts w:ascii="Montserrat" w:hAnsi="Montserrat"/>
                <w:sz w:val="15"/>
              </w:rPr>
              <w:t>rcma-030–rcma-033</w:t>
            </w:r>
          </w:p>
        </w:tc>
      </w:tr>
      <w:tr>
        <w:tc>
          <w:tcPr>
            <w:tcW w:type="dxa" w:w="3485"/>
          </w:tcPr>
          <w:p>
            <w:pPr>
              <w:spacing w:after="20"/>
            </w:pPr>
            <w:r>
              <w:rPr>
                <w:rFonts w:ascii="Montserrat" w:hAnsi="Montserrat"/>
                <w:sz w:val="15"/>
              </w:rPr>
              <w:t>rcma-sE</w:t>
            </w:r>
          </w:p>
        </w:tc>
        <w:tc>
          <w:tcPr>
            <w:tcW w:type="dxa" w:w="3485"/>
          </w:tcPr>
          <w:p>
            <w:pPr>
              <w:spacing w:after="20"/>
            </w:pPr>
            <w:r>
              <w:rPr>
                <w:rFonts w:ascii="Montserrat" w:hAnsi="Montserrat"/>
                <w:sz w:val="15"/>
              </w:rPr>
              <w:t>Rejections &amp; coverage</w:t>
            </w:r>
          </w:p>
        </w:tc>
        <w:tc>
          <w:tcPr>
            <w:tcW w:type="dxa" w:w="3485"/>
          </w:tcPr>
          <w:p>
            <w:pPr>
              <w:spacing w:after="20"/>
            </w:pPr>
            <w:r>
              <w:rPr>
                <w:rFonts w:ascii="Montserrat" w:hAnsi="Montserrat"/>
                <w:sz w:val="15"/>
              </w:rPr>
              <w:t>rcma-040–rcma-042</w:t>
            </w:r>
          </w:p>
        </w:tc>
      </w:tr>
      <w:tr>
        <w:tc>
          <w:tcPr>
            <w:tcW w:type="dxa" w:w="3485"/>
          </w:tcPr>
          <w:p>
            <w:pPr>
              <w:spacing w:after="20"/>
            </w:pPr>
            <w:r>
              <w:rPr>
                <w:rFonts w:ascii="Montserrat" w:hAnsi="Montserrat"/>
                <w:sz w:val="15"/>
              </w:rPr>
              <w:t>rcma-sF</w:t>
            </w:r>
          </w:p>
        </w:tc>
        <w:tc>
          <w:tcPr>
            <w:tcW w:type="dxa" w:w="3485"/>
          </w:tcPr>
          <w:p>
            <w:pPr>
              <w:spacing w:after="20"/>
            </w:pPr>
            <w:r>
              <w:rPr>
                <w:rFonts w:ascii="Montserrat" w:hAnsi="Montserrat"/>
                <w:sz w:val="15"/>
              </w:rPr>
              <w:t>Fix the note</w:t>
            </w:r>
          </w:p>
        </w:tc>
        <w:tc>
          <w:tcPr>
            <w:tcW w:type="dxa" w:w="3485"/>
          </w:tcPr>
          <w:p>
            <w:pPr>
              <w:spacing w:after="20"/>
            </w:pPr>
            <w:r>
              <w:rPr>
                <w:rFonts w:ascii="Montserrat" w:hAnsi="Montserrat"/>
                <w:sz w:val="15"/>
              </w:rPr>
              <w:t>rcma-050–rcma-091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rcma-000 — RCM Part A: Documentation &amp; Coding</w:t>
      </w:r>
    </w:p>
    <w:p>
      <w:r>
        <w:t>Status: Draft — ready for SME review · Section / node: Why it matters / rcma-sA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Slide 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RCM Part A: Documentation &amp; Coding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"Documentation &amp; coding that gets approved" · "RCM Part A"</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"Documentation &amp; coding that gets approved" · "RCM Part A"</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RCM Part A: Documentation &amp; Coding.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"rcma-000",</w:t>
      </w:r>
    </w:p>
    <w:p>
      <w:pPr>
        <w:pStyle w:val="StoryboardCode"/>
      </w:pPr>
      <w:r>
        <w:t xml:space="preserve">  "title": "RCM Part A: Documentation &amp; Coding",</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rcma-000. Do not reuse source-video or source-deck imagery where the Phase 0 file prohibits it.</w:t>
      </w:r>
    </w:p>
    <w:p>
      <w:pPr/>
      <w:r>
        <w:t>────────────────────────────────────────────────────</w:t>
      </w:r>
    </w:p>
    <w:p>
      <w:pPr>
        <w:pStyle w:val="Heading3"/>
        <w:pageBreakBefore/>
      </w:pPr>
      <w:r>
        <w:t>rcma-001 — The core idea</w:t>
      </w:r>
    </w:p>
    <w:p>
      <w:r>
        <w:t>Status: Draft — ready for SME review · Section / node: Why it matters / rcma-sA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core idea</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Physician responsibility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core idea</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payer doesn't see your patient. The payer sees your note." · Clinical decision + documentation + coding = optimised payment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the core idea, using a navy header, concise keyword cards and one Collaborative burgundy #7C0041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rcma-img-reviewer: Generated native SVG.</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reviewer sees a written note rather than the patient encounter.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rcma-img-reviewer: Minimal illustration: note on one side, reviewer with only the paper on the other</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reviewer sees only the written note."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payer doesn't see your patient. The payer sees your note." · Clinical decision + documentation + coding = optimised payment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70 words / ≈ 30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reviewer only has your note. Good documentation protects the patient, you and the clinic. Keep the main point connected to a familiar task or conversation. That connection makes the information easier to use when it matters.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"rcma-001",</w:t>
      </w:r>
    </w:p>
    <w:p>
      <w:pPr>
        <w:pStyle w:val="StoryboardCode"/>
      </w:pPr>
      <w:r>
        <w:t xml:space="preserve">  "title": "The core idea",</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rcma-001. Do not reuse source-video or source-deck imagery where the Phase 0 file prohibits it.</w:t>
      </w:r>
    </w:p>
    <w:p>
      <w:pPr/>
      <w:r>
        <w:t>────────────────────────────────────────────────────</w:t>
      </w:r>
    </w:p>
    <w:p>
      <w:pPr>
        <w:pStyle w:val="Heading3"/>
        <w:pageBreakBefore/>
      </w:pPr>
      <w:r>
        <w:t>rcma-002 — Productive failure</w:t>
      </w:r>
    </w:p>
    <w:p>
      <w:r>
        <w:t>Status: Draft — ready for SME review · Section / node: Why it matters / rcma-sA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Productive failure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Common errors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Productive failure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do you think is the #1 cause of rejections at My Clinic?" (4 causes)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"Hold that thought — we'll check it later."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productive failure,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 do you think is the #1 cause of rejections at My Clinic?" (4 causes)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"Hold that thought — we'll check it later."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"rcma-002",</w:t>
      </w:r>
    </w:p>
    <w:p>
      <w:pPr>
        <w:pStyle w:val="StoryboardCode"/>
      </w:pPr>
      <w:r>
        <w:t xml:space="preserve">  "title": "Productive failure",</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rcma-002. Do not reuse source-video or source-deck imagery where the Phase 0 file prohibits it.</w:t>
      </w:r>
    </w:p>
    <w:p>
      <w:pPr/>
      <w:r>
        <w:t>────────────────────────────────────────────────────</w:t>
      </w:r>
    </w:p>
    <w:p>
      <w:pPr>
        <w:pStyle w:val="Heading3"/>
        <w:pageBreakBefore/>
      </w:pPr>
      <w:r>
        <w:t>rcma-010 — Always / Avoid</w:t>
      </w:r>
    </w:p>
    <w:p>
      <w:r>
        <w:t>Status: Draft — ready for SME review · Section / node: Documentation strategy / rcma-sB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Always / Avoid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Documentation strategy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Always / Avoid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Always: chief complaint &amp; HPI · relevant findings · link symptoms to the working diagnosis · labs/imaging when needed · Avoid: vague notes · diagnosis without support · copy-paste · "fatigue only", "body pain"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always / avoid,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Always: chief complaint &amp; HPI · relevant findings · link symptoms to the working diagnosis · labs/imaging when needed · Avoid: vague notes · diagnosis without support · copy-paste · "fatigue only", "body pain"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81 words / ≈ 34.7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What always goes in, what never should. Use the tabs as a short reference, not a checklist to race through. Notice which detail would guide your next conversation or decision. Ask early when a situation does not match the rule. Good habits here are quiet: check, confirm, continue.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"rcma-010",</w:t>
      </w:r>
    </w:p>
    <w:p>
      <w:pPr>
        <w:pStyle w:val="StoryboardCode"/>
      </w:pPr>
      <w:r>
        <w:t xml:space="preserve">  "title": "Always / Avoid",</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"points": 0,</w:t>
      </w:r>
    </w:p>
    <w:p>
      <w:pPr>
        <w:pStyle w:val="StoryboardCode"/>
      </w:pPr>
      <w:r>
        <w:t xml:space="preserve">  "narration_script_id": "rcma-010",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rcma-010. Do not reuse source-video or source-deck imagery where the Phase 0 file prohibits it.</w:t>
      </w:r>
    </w:p>
    <w:p>
      <w:pPr/>
      <w:r>
        <w:t>────────────────────────────────────────────────────</w:t>
      </w:r>
    </w:p>
    <w:p>
      <w:pPr>
        <w:pStyle w:val="Heading3"/>
        <w:pageBreakBefore/>
      </w:pPr>
      <w:r>
        <w:t>rcma-011 — Weak vs strong</w:t>
      </w:r>
    </w:p>
    <w:p>
      <w:r>
        <w:t>Status: Draft — ready for SME review · Section / node: Documentation strategy / rcma-sB · Type: image_compare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Weak vs strong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Weak vs strong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Before: "Patient given IV fluids." · After: "Dehydration signs (HR 112, dry mucosa) — IV fluids started for stabilisation." Rendered as two note cards (SVG)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Slider; caption: same treatment, different outcome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paired before-and-after comparison for weak vs strong, with a draggable divider, descriptive HTML captions and a clean light background.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rcma-img-note-weak: Generated native SVG using fictional teaching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Weak generic clinical note stating only that IV fluids were given.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rcma-img-note-strong: Generated native SVG using fictional teaching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Stronger generic clinical note linking dehydration signs to IV fluids.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rcma-img-note-weak / -strong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rcma-img-note-weak / -strong: Two identical-size EHR-style note cards (generic, no vendor UI), weak vs strong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"Weak note: patient given IV fluids." / "Strong note: dehydration signs, IV fluids for stabilisation."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Before: "Patient given IV fluids." · After: "Dehydration signs (HR 112, dry mucosa) — IV fluids started for stabilisation." Rendered as two note cards (SVG)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Slider; caption: same treatment, different outcome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Same patient, same fluids. One note gets paid. Use the comparison to separate a helpful detail from a potential problem. The important step is turning what you see into a clear response. Good habits here are quiet: check, confirm, continue.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"image_compare",</w:t>
      </w:r>
    </w:p>
    <w:p>
      <w:pPr>
        <w:pStyle w:val="StoryboardCode"/>
      </w:pPr>
      <w:r>
        <w:t xml:space="preserve">  "id": "rcma-011",</w:t>
      </w:r>
    </w:p>
    <w:p>
      <w:pPr>
        <w:pStyle w:val="StoryboardCode"/>
      </w:pPr>
      <w:r>
        <w:t xml:space="preserve">  "title": "Weak vs strong",</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"points": 0,</w:t>
      </w:r>
    </w:p>
    <w:p>
      <w:pPr>
        <w:pStyle w:val="StoryboardCode"/>
      </w:pPr>
      <w:r>
        <w:t xml:space="preserve">  "narration_script_id": "rcma-011",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rcma-011. Do not reuse source-video or source-deck imagery where the Phase 0 file prohibits it.</w:t>
      </w:r>
    </w:p>
    <w:p>
      <w:pPr/>
      <w:r>
        <w:t>────────────────────────────────────────────────────</w:t>
      </w:r>
    </w:p>
    <w:p>
      <w:pPr>
        <w:pStyle w:val="Heading3"/>
        <w:pageBreakBefore/>
      </w:pPr>
      <w:r>
        <w:t>rcma-012 — The full clinical picture</w:t>
      </w:r>
    </w:p>
    <w:p>
      <w:r>
        <w:t>Status: Draft — ready for SME review · Section / node: Documentation strategy / rcma-sB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full clinical picture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Full history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full clinical picture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Chief complaint → HPI → relevant past history → clinical findings → assessment → plan with duration &amp; follow-up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"Good documentation tells a story, not just a diagnosis."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the full clinical picture.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Order: Chief complaint → HPI → relevant past history → clinical findings → assessment → plan with duration &amp; follow-up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"Good documentation tells a story, not just a diagnosis."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"Good documentation tells a story, not just a diagnosis."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"Good documentation tells a story, not just a diagnosis."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"rcma-012",</w:t>
      </w:r>
    </w:p>
    <w:p>
      <w:pPr>
        <w:pStyle w:val="StoryboardCode"/>
      </w:pPr>
      <w:r>
        <w:t xml:space="preserve">  "title": "The full clinical picture",</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"rcma-o1"</w:t>
      </w:r>
    </w:p>
    <w:p>
      <w:pPr>
        <w:pStyle w:val="StoryboardCode"/>
      </w:pPr>
      <w:r>
        <w:t xml:space="preserve">  ],</w:t>
      </w:r>
    </w:p>
    <w:p>
      <w:pPr>
        <w:pStyle w:val="StoryboardCode"/>
      </w:pPr>
      <w:r>
        <w:t xml:space="preserve">  "points": 10,</w:t>
      </w:r>
    </w:p>
    <w:p>
      <w:pPr>
        <w:pStyle w:val="StoryboardCode"/>
      </w:pPr>
      <w:r>
        <w:t xml:space="preserve">  "narration_script_id": "rcma-012",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rcma-012. Do not reuse source-video or source-deck imagery where the Phase 0 file prohibits it.</w:t>
      </w:r>
    </w:p>
    <w:p>
      <w:pPr/>
      <w:r>
        <w:t>────────────────────────────────────────────────────</w:t>
      </w:r>
    </w:p>
    <w:p>
      <w:pPr>
        <w:pStyle w:val="Heading3"/>
        <w:pageBreakBefore/>
      </w:pPr>
      <w:r>
        <w:t>rcma-013 — Medical necessity</w:t>
      </w:r>
    </w:p>
    <w:p>
      <w:r>
        <w:t>Status: Draft — ready for SME review · Section / node: Documentation strategy / rcma-sB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note best justifies a CBC?" options: "Routine CBC" / "Fatigue" / "Fatigue for 6 weeks, pallor, menorrhagia — rule out anaemia" ✔ / "Patient requested blood test"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what the reviewer asks: why was this done?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medical necessity.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note best justifies a CBC?" options: "Routine CBC" / "Fatigue" / "Fatigue for 6 weeks, pallor, menorrhagia — rule out anaemia" ✔ / "Patient requested blood test"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what the reviewer asks: why was this done?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what the reviewer asks: why was this done?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what the reviewer asks: why was this done?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"rcma-013",</w:t>
      </w:r>
    </w:p>
    <w:p>
      <w:pPr>
        <w:pStyle w:val="StoryboardCode"/>
      </w:pPr>
      <w:r>
        <w:t xml:space="preserve">  "title": "Medical necessity",</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"rcma-o1"</w:t>
      </w:r>
    </w:p>
    <w:p>
      <w:pPr>
        <w:pStyle w:val="StoryboardCode"/>
      </w:pPr>
      <w:r>
        <w:t xml:space="preserve">  ],</w:t>
      </w:r>
    </w:p>
    <w:p>
      <w:pPr>
        <w:pStyle w:val="StoryboardCode"/>
      </w:pPr>
      <w:r>
        <w:t xml:space="preserve">  "points": 5,</w:t>
      </w:r>
    </w:p>
    <w:p>
      <w:pPr>
        <w:pStyle w:val="StoryboardCode"/>
      </w:pPr>
      <w:r>
        <w:t xml:space="preserve">  "narration_script_id": "rcma-013",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rcma-013. Do not reuse source-video or source-deck imagery where the Phase 0 file prohibits it.</w:t>
      </w:r>
    </w:p>
    <w:p>
      <w:pPr/>
      <w:r>
        <w:t>────────────────────────────────────────────────────</w:t>
      </w:r>
    </w:p>
    <w:p>
      <w:pPr>
        <w:pStyle w:val="Heading3"/>
        <w:pageBreakBefore/>
      </w:pPr>
      <w:r>
        <w:t>rcma-020 — Coding is clinical translation</w:t>
      </w:r>
    </w:p>
    <w:p>
      <w:r>
        <w:t>Status: Draft — ready for SME review · Section / node: ICD-10 coding / rcma-sC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Coding is clinical translation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ICD-10 core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Coding is clinical translation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Primary = main condition treated · Secondary = complexity · Specific code = higher acceptance · #1 rejection cause: non-specific symptom coding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coding is clinical translation,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Primary = main condition treated · Secondary = complexity · Specific code = higher acceptance · #1 rejection cause: non-specific symptom coding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79 words / ≈ 33.9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Coding is clinical translation. Specific codes get accepted. Notice which part of the information you would need first in practice. Use that as the starting point for a safe, respectful next action. Link it to the task waiting for you tomorrow. If one detail stays with you, let it be the safe one. Ask early when a situation does not match the rule. Good habits here are quiet: check, confirm, continue.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"rcma-020",</w:t>
      </w:r>
    </w:p>
    <w:p>
      <w:pPr>
        <w:pStyle w:val="StoryboardCode"/>
      </w:pPr>
      <w:r>
        <w:t xml:space="preserve">  "title": "Coding is clinical translation",</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"points": 0,</w:t>
      </w:r>
    </w:p>
    <w:p>
      <w:pPr>
        <w:pStyle w:val="StoryboardCode"/>
      </w:pPr>
      <w:r>
        <w:t xml:space="preserve">  "narration_script_id": "rcma-020",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rcma-020. Do not reuse source-video or source-deck imagery where the Phase 0 file prohibits it.</w:t>
      </w:r>
    </w:p>
    <w:p>
      <w:pPr/>
      <w:r>
        <w:t>────────────────────────────────────────────────────</w:t>
      </w:r>
    </w:p>
    <w:p>
      <w:pPr>
        <w:pStyle w:val="Heading3"/>
        <w:pageBreakBefore/>
      </w:pPr>
      <w:r>
        <w:t>rcma-021 — Symptom → supported diagnosis</w:t>
      </w:r>
    </w:p>
    <w:p>
      <w:r>
        <w:t>Status: Draft — ready for SME review · Section / node: ICD-10 coding / rcma-sC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Symptom → supported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ICD-10 core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Symptom → supported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Presentations ↔ codes (final codes per B4): "Vomiting + diarrhoea, 2 days, dehydration" ↔ gastroenteritis code · "Sore throat, fever, tonsillar exudate" ↔ J03 Acute tonsillitis · "Headache, BP 168/102 on two readings" ↔ I10 Hypertension · "Polyuria, HbA1c 8.1%"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"Don't stop at the symptom."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symptom → supported diagnosis.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Presentations ↔ codes (final codes per B4): "Vomiting + diarrhoea, 2 days, dehydration" ↔ gastroenteritis code · "Sore throat, fever, tonsillar exudate" ↔ J03 Acute tonsillitis · "Headache, BP 168/102 on two readings" ↔ I10 Hypertension · "Polyuria, HbA1c 8.1%" ↔ E11 Type 2 diabetes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"Don't stop at the symptom."</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"Don't stop at the symptom."</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"Don't stop at the symptom."</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"rcma-021",</w:t>
      </w:r>
    </w:p>
    <w:p>
      <w:pPr>
        <w:pStyle w:val="StoryboardCode"/>
      </w:pPr>
      <w:r>
        <w:t xml:space="preserve">  "title": "Symptom → supported diagnosis",</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"rcma-o2"</w:t>
      </w:r>
    </w:p>
    <w:p>
      <w:pPr>
        <w:pStyle w:val="StoryboardCode"/>
      </w:pPr>
      <w:r>
        <w:t xml:space="preserve">  ],</w:t>
      </w:r>
    </w:p>
    <w:p>
      <w:pPr>
        <w:pStyle w:val="StoryboardCode"/>
      </w:pPr>
      <w:r>
        <w:t xml:space="preserve">  "points": 10,</w:t>
      </w:r>
    </w:p>
    <w:p>
      <w:pPr>
        <w:pStyle w:val="StoryboardCode"/>
      </w:pPr>
      <w:r>
        <w:t xml:space="preserve">  "narration_script_id": "rcma-021",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rcma-021. Do not reuse source-video or source-deck imagery where the Phase 0 file prohibits it.</w:t>
      </w:r>
    </w:p>
    <w:p>
      <w:pPr/>
      <w:r>
        <w:t>────────────────────────────────────────────────────</w:t>
      </w:r>
    </w:p>
    <w:p>
      <w:pPr>
        <w:pStyle w:val="Heading3"/>
        <w:pageBreakBefore/>
      </w:pPr>
      <w:r>
        <w:t>rcma-022 — Provisional diagnosis</w:t>
      </w:r>
    </w:p>
    <w:p>
      <w:r>
        <w:t>Status: Draft — ready for SME review · Section / node: ICD-10 coding / rcma-sC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Provisional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Golden tip; Professional diagnosis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Provisional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Fever 3 days + dysuria + suprapubic pain → urinalysis and culture ordered → document a provisional diagnosis linked to the findings → confirm or change when results return. Self-explanation: "Why is a provisional diagnosis better than 'fever' here?"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Unscored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step-by-step worked example for provisional diagnosis, using numbered white cards, restrained navy connectors and a single Collaborative burgundy #7C0041 emphasis.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Fever 3 days + dysuria + suprapubic pain → urinalysis and culture ordered → document a provisional diagnosis linked to the findings → confirm or change when results return. Self-explanation: "Why is a provisional diagnosis better than 'fever' here?"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Unscored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89 words / ≈ 38.1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Talk through the provisional diagnosis: honest about uncertainty, still specific. Follow the example one step at a time, then identify why the next step makes sense. The value is the reasoning you can carry into a similar case. Ask early when a situation does not match the rule. Good habits here are quiet: check, confirm, continue.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"rcma-022",</w:t>
      </w:r>
    </w:p>
    <w:p>
      <w:pPr>
        <w:pStyle w:val="StoryboardCode"/>
      </w:pPr>
      <w:r>
        <w:t xml:space="preserve">  "title": "Provisional diagnosis",</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"points": 0,</w:t>
      </w:r>
    </w:p>
    <w:p>
      <w:pPr>
        <w:pStyle w:val="StoryboardCode"/>
      </w:pPr>
      <w:r>
        <w:t xml:space="preserve">  "narration_script_id": "rcma-022",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rcma-022. Do not reuse source-video or source-deck imagery where the Phase 0 file prohibits it.</w:t>
      </w:r>
    </w:p>
    <w:p>
      <w:pPr/>
      <w:r>
        <w:t>────────────────────────────────────────────────────</w:t>
      </w:r>
    </w:p>
    <w:p>
      <w:pPr>
        <w:pStyle w:val="Heading3"/>
        <w:pageBreakBefore/>
      </w:pPr>
      <w:r>
        <w:t>rcma-023 — Covered or not as primary?</w:t>
      </w:r>
    </w:p>
    <w:p>
      <w:r>
        <w:t>Status: Draft — ready for SME review · Section / node: ICD-10 coding / rcma-sC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Covered or not as primary?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Uncovered codes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Covered or not as primary?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E66 Obesity (BMI 31) · L70 Acne · L66 Hair loss · L21 Seborrhoeic dermatitis · N97 Female infertility · General check-up · J03 Acute tonsillitis · E11 Type 2 diabetes · Obesity with BMI 42 referred for bariatric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"Link to a covered condition when it truly exists, or don't use it as the main diagnosis."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covered or not as primary?.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E66 Obesity (BMI 31) · L70 Acne · L66 Hair loss · L21 Seborrhoeic dermatitis · N97 Female infertility · General check-up · J03 Acute tonsillitis · E11 Type 2 diabetes · Obesity with BMI 42 referred for bariatric surgery (B5) → Avoid as primary (uncovered) / Covered when clinically supported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"Link to a covered condition when it truly exists, or don't use it as the main diagnosis."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"Link to a covered condition when it truly exists, or don't use it as the main diagnosis."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"Link to a covered condition when it truly exists, or don't use it as the main diagnosis."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25 words / ≈ 10.7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The scenario uses fictional names and numbers.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"rcma-023",</w:t>
      </w:r>
    </w:p>
    <w:p>
      <w:pPr>
        <w:pStyle w:val="StoryboardCode"/>
      </w:pPr>
      <w:r>
        <w:t xml:space="preserve">  "title": "Covered or not as primary?",</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"rcma-o2"</w:t>
      </w:r>
    </w:p>
    <w:p>
      <w:pPr>
        <w:pStyle w:val="StoryboardCode"/>
      </w:pPr>
      <w:r>
        <w:t xml:space="preserve">  ],</w:t>
      </w:r>
    </w:p>
    <w:p>
      <w:pPr>
        <w:pStyle w:val="StoryboardCode"/>
      </w:pPr>
      <w:r>
        <w:t xml:space="preserve">  "points": 10,</w:t>
      </w:r>
    </w:p>
    <w:p>
      <w:pPr>
        <w:pStyle w:val="StoryboardCode"/>
      </w:pPr>
      <w:r>
        <w:t xml:space="preserve">  "narration_script_id": "rcma-023",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rcma-023. Do not reuse source-video or source-deck imagery where the Phase 0 file prohibits it.</w:t>
      </w:r>
    </w:p>
    <w:p>
      <w:pPr/>
      <w:r>
        <w:t>────────────────────────────────────────────────────</w:t>
      </w:r>
    </w:p>
    <w:p>
      <w:pPr>
        <w:pStyle w:val="Heading3"/>
        <w:pageBreakBefore/>
      </w:pPr>
      <w:r>
        <w:t>rcma-030 — More tests ≠ better care</w:t>
      </w:r>
    </w:p>
    <w:p>
      <w:r>
        <w:t>Status: Draft — ready for SME review · Section / node: Defensive medicine &amp; ordering / rcma-sD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More tests ≠ better care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 Excessive ordering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More tests ≠ better care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Follow initial work-up protocols · No supplements without indication · Repeat only at evidence-based intervals · If you deviate, document why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more tests ≠ better care,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Follow initial work-up protocols · No supplements without indication · Repeat only at evidence-based intervals · If you deviate, document why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84 words / ≈ 36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Defensive medicine feels safe but gets rejected. Follow work-up protocols, document deviations. As you read, focus on the decision this information supports in your own role. The aim is a practical next action, not a phrase to memorise. Notice which part of this you would use first on shift. The aim is a decision you can repeat, not a phrase to recall. Link it to the task waiting for you tomorrow. If one detail stays with you, let it be the safe one.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"rcma-030",</w:t>
      </w:r>
    </w:p>
    <w:p>
      <w:pPr>
        <w:pStyle w:val="StoryboardCode"/>
      </w:pPr>
      <w:r>
        <w:t xml:space="preserve">  "title": "More tests ≠ better care",</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"points": 0,</w:t>
      </w:r>
    </w:p>
    <w:p>
      <w:pPr>
        <w:pStyle w:val="StoryboardCode"/>
      </w:pPr>
      <w:r>
        <w:t xml:space="preserve">  "narration_script_id": "rcma-030",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rcma-030. Do not reuse source-video or source-deck imagery where the Phase 0 file prohibits it.</w:t>
      </w:r>
    </w:p>
    <w:p>
      <w:pPr/>
      <w:r>
        <w:t>────────────────────────────────────────────────────</w:t>
      </w:r>
    </w:p>
    <w:p>
      <w:pPr>
        <w:pStyle w:val="Heading3"/>
        <w:pageBreakBefore/>
      </w:pPr>
      <w:r>
        <w:t>rcma-031 — Joint-pain case</w:t>
      </w:r>
    </w:p>
    <w:p>
      <w:r>
        <w:t>Status: Draft — ready for SME review · Section / node: Defensive medicine &amp; ordering / rcma-sD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Joint-pain case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B10;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Joint-pain case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Node 1: 45-year-old with multi-joint pain, first visit, no history → order everything (CRP, ESR, anti-DNA, anti-Ro, anti-La) vs initial work-up (CRP, ESR) ✔. Node 2: same patient, rheumatoid arthritis already diagnosed by a rheumatologist elsewhere → document the history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quotes the script's example (B10)</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joint-pain case.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char-omar-avatar-thinking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char-omar-avatar-thinking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char-omar-avatar-thinking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Node 1: 45-year-old with multi-joint pain, first visit, no history → order everything (CRP, ESR, anti-DNA, anti-Ro, anti-La) vs initial work-up (CRP, ESR) ✔. Node 2: same patient, rheumatoid arthritis already diagnosed by a rheumatologist elsewhere → document the history and the specialist diagnosis; the full panel is justified in one request ✔</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quotes the script's example (B10)</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quotes the script's example (B10)</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quotes the script's example (B10)</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quotes the script's example (B10)</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"rcma-031",</w:t>
      </w:r>
    </w:p>
    <w:p>
      <w:pPr>
        <w:pStyle w:val="StoryboardCode"/>
      </w:pPr>
      <w:r>
        <w:t xml:space="preserve">  "title": "Joint-pain case",</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15,</w:t>
      </w:r>
    </w:p>
    <w:p>
      <w:pPr>
        <w:pStyle w:val="StoryboardCode"/>
      </w:pPr>
      <w:r>
        <w:t xml:space="preserve">  "narration_script_id": "rcma-031",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B10; do not turn these source values into release policy until the named owner closes them.</w:t>
      </w:r>
    </w:p>
    <w:p>
      <w:pPr>
        <w:pStyle w:val="ListBullet"/>
      </w:pPr>
      <w:r>
        <w:t>Developer notes: Keep all policy wording as editable HTML, preserve the supplied client logo, and use the exact screen id rcma-031. Do not reuse source-video or source-deck imagery where the Phase 0 file prohibits it.</w:t>
      </w:r>
    </w:p>
    <w:p>
      <w:pPr/>
      <w:r>
        <w:t>────────────────────────────────────────────────────</w:t>
      </w:r>
    </w:p>
    <w:p>
      <w:pPr>
        <w:pStyle w:val="Heading3"/>
        <w:pageBreakBefore/>
      </w:pPr>
      <w:r>
        <w:t>rcma-032 — Timing</w:t>
      </w:r>
    </w:p>
    <w:p>
      <w:r>
        <w:t>Status: Draft — ready for SME review · Section / node: Defensive medicine &amp; ordering / rcma-sD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Timing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Excessive ordering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Timing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"Your diabetic patient's HbA1c was done 6 weeks ago. He asks for another." Best action → don't repeat yet unless there's a documented clinical reason; next test at the approved interval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timing.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"Your diabetic patient's HbA1c was done 6 weeks ago. He asks for another." Best action → don't repeat yet unless there's a documented clinical reason; next test at the approved interval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"rcma-032",</w:t>
      </w:r>
    </w:p>
    <w:p>
      <w:pPr>
        <w:pStyle w:val="StoryboardCode"/>
      </w:pPr>
      <w:r>
        <w:t xml:space="preserve">  "title": "Timing",</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5,</w:t>
      </w:r>
    </w:p>
    <w:p>
      <w:pPr>
        <w:pStyle w:val="StoryboardCode"/>
      </w:pPr>
      <w:r>
        <w:t xml:space="preserve">  "narration_script_id": "rcma-032",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rcma-032. Do not reuse source-video or source-deck imagery where the Phase 0 file prohibits it.</w:t>
      </w:r>
    </w:p>
    <w:p>
      <w:pPr/>
      <w:r>
        <w:t>────────────────────────────────────────────────────</w:t>
      </w:r>
    </w:p>
    <w:p>
      <w:pPr>
        <w:pStyle w:val="Heading3"/>
        <w:pageBreakBefore/>
      </w:pPr>
      <w:r>
        <w:t>rcma-033 — Supplements</w:t>
      </w:r>
    </w:p>
    <w:p>
      <w:r>
        <w:t>Status: Draft — ready for SME review · Section / node: Defensive medicine &amp; ordering / rcma-sD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Supplements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Supplements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"Prescribing a combined multivitamin 'for general wellness' with no documented deficiency is likely to be rejected." → True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supplements.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"Prescribing a combined multivitamin 'for general wellness' with no documented deficiency is likely to be rejected." → True (B8)</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"rcma-033",</w:t>
      </w:r>
    </w:p>
    <w:p>
      <w:pPr>
        <w:pStyle w:val="StoryboardCode"/>
      </w:pPr>
      <w:r>
        <w:t xml:space="preserve">  "title": "Supplements",</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5,</w:t>
      </w:r>
    </w:p>
    <w:p>
      <w:pPr>
        <w:pStyle w:val="StoryboardCode"/>
      </w:pPr>
      <w:r>
        <w:t xml:space="preserve">  "narration_script_id": "rcma-033",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rcma-033. Do not reuse source-video or source-deck imagery where the Phase 0 file prohibits it.</w:t>
      </w:r>
    </w:p>
    <w:p>
      <w:pPr/>
      <w:r>
        <w:t>────────────────────────────────────────────────────</w:t>
      </w:r>
    </w:p>
    <w:p>
      <w:pPr>
        <w:pStyle w:val="Heading3"/>
        <w:pageBreakBefore/>
      </w:pPr>
      <w:r>
        <w:t>rcma-040 — Four causes</w:t>
      </w:r>
    </w:p>
    <w:p>
      <w:r>
        <w:t>Status: Draft — ready for SME review · Section / node: Rejections &amp; coverage / rcma-sE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Four causes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Common errors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causes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Rejection notes → causes: "No indication for the MRI" → missing justification · "Diagnosis: fever" → non-specific · "No examination findings recorded" → incomplete · "Antibiotic billed for a viral URTI code" → mismatch (+ 4 more)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reveals the poll answer from rcma-002</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four causes.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Rejection notes → causes: "No indication for the MRI" → missing justification · "Diagnosis: fever" → non-specific · "No examination findings recorded" → incomplete · "Antibiotic billed for a viral URTI code" → mismatch (+ 4 more)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reveals the poll answer from rcma-002</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reveals the poll answer from rcma-002</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reveals the poll answer from rcma-002</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"rcma-040",</w:t>
      </w:r>
    </w:p>
    <w:p>
      <w:pPr>
        <w:pStyle w:val="StoryboardCode"/>
      </w:pPr>
      <w:r>
        <w:t xml:space="preserve">  "title": "Four causes",</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"rcma-o4"</w:t>
      </w:r>
    </w:p>
    <w:p>
      <w:pPr>
        <w:pStyle w:val="StoryboardCode"/>
      </w:pPr>
      <w:r>
        <w:t xml:space="preserve">  ],</w:t>
      </w:r>
    </w:p>
    <w:p>
      <w:pPr>
        <w:pStyle w:val="StoryboardCode"/>
      </w:pPr>
      <w:r>
        <w:t xml:space="preserve">  "points": 10,</w:t>
      </w:r>
    </w:p>
    <w:p>
      <w:pPr>
        <w:pStyle w:val="StoryboardCode"/>
      </w:pPr>
      <w:r>
        <w:t xml:space="preserve">  "narration_script_id": "rcma-040",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rcma-040. Do not reuse source-video or source-deck imagery where the Phase 0 file prohibits it.</w:t>
      </w:r>
    </w:p>
    <w:p>
      <w:pPr/>
      <w:r>
        <w:t>────────────────────────────────────────────────────</w:t>
      </w:r>
    </w:p>
    <w:p>
      <w:pPr>
        <w:pStyle w:val="Heading3"/>
        <w:pageBreakBefore/>
      </w:pPr>
      <w:r>
        <w:t>rcma-041 — Coverage changes</w:t>
      </w:r>
    </w:p>
    <w:p>
      <w:r>
        <w:t>Status: Draft — ready for SME review · Section / node: Rejections &amp; coverage / rcma-sE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Coverage changes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Updates; Physician responsibility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Coverage changes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Benefits are added and amended often · Know what's covered, adapt documentation · "If you don't document it properly, it won't be covered — even if it's clinically correct." · Next: Part B covers the new EBP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coverage changes,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Benefits are added and amended often · Know what's covered, adapt documentation · "If you don't document it properly, it won't be covered — even if it's clinically correct." · Next: Part B covers the new EBP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73 words / ≈ 31.3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Coverage changes often. Part B covers what's new. Notice which part of the information you would need first in practice. Use that as the starting point for a safe, respectful next action. Carry the idea into your next decision. Notice which part of this you would use first on shift. The aim is a decision you can repeat, not a phrase to recall. Link it to the task waiting for you tomorrow.</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"rcma-041",</w:t>
      </w:r>
    </w:p>
    <w:p>
      <w:pPr>
        <w:pStyle w:val="StoryboardCode"/>
      </w:pPr>
      <w:r>
        <w:t xml:space="preserve">  "title": "Coverage changes",</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"points": 0,</w:t>
      </w:r>
    </w:p>
    <w:p>
      <w:pPr>
        <w:pStyle w:val="StoryboardCode"/>
      </w:pPr>
      <w:r>
        <w:t xml:space="preserve">  "narration_script_id": "rcma-041",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rcma-041. Do not reuse source-video or source-deck imagery where the Phase 0 file prohibits it.</w:t>
      </w:r>
    </w:p>
    <w:p>
      <w:pPr/>
      <w:r>
        <w:t>────────────────────────────────────────────────────</w:t>
      </w:r>
    </w:p>
    <w:p>
      <w:pPr>
        <w:pStyle w:val="Heading3"/>
        <w:pageBreakBefore/>
      </w:pPr>
      <w:r>
        <w:t>rcma-042 — Coverage check</w:t>
      </w:r>
    </w:p>
    <w:p>
      <w:r>
        <w:t>Status: Draft — ready for SME review · Section / node: Rejections &amp; coverage / rcma-sE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Coverage check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Amended benefits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Coverage check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hormonal assessment is likely to be approved?" → menopausal symptoms ✔ vs PCOS work-up (B6)</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the same service can be accepted or rejected depending on indication and documentation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coverage check.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hormonal assessment is likely to be approved?" → menopausal symptoms ✔ vs PCOS work-up (B6)</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the same service can be accepted or rejected depending on indication and documentation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or rejected depending on indication and documentation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the same service can be accepted or rejected depending on indication and documentation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the same service can be accepted or rejected depending on indication and documentation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"rcma-042",</w:t>
      </w:r>
    </w:p>
    <w:p>
      <w:pPr>
        <w:pStyle w:val="StoryboardCode"/>
      </w:pPr>
      <w:r>
        <w:t xml:space="preserve">  "title": "Coverage check",</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"rcma-o4"</w:t>
      </w:r>
    </w:p>
    <w:p>
      <w:pPr>
        <w:pStyle w:val="StoryboardCode"/>
      </w:pPr>
      <w:r>
        <w:t xml:space="preserve">  ],</w:t>
      </w:r>
    </w:p>
    <w:p>
      <w:pPr>
        <w:pStyle w:val="StoryboardCode"/>
      </w:pPr>
      <w:r>
        <w:t xml:space="preserve">  "points": 5,</w:t>
      </w:r>
    </w:p>
    <w:p>
      <w:pPr>
        <w:pStyle w:val="StoryboardCode"/>
      </w:pPr>
      <w:r>
        <w:t xml:space="preserve">  "narration_script_id": "rcma-042",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rcma-042. Do not reuse source-video or source-deck imagery where the Phase 0 file prohibits it.</w:t>
      </w:r>
    </w:p>
    <w:p>
      <w:pPr/>
      <w:r>
        <w:t>────────────────────────────────────────────────────</w:t>
      </w:r>
    </w:p>
    <w:p>
      <w:pPr>
        <w:pStyle w:val="Heading3"/>
        <w:pageBreakBefore/>
      </w:pPr>
      <w:r>
        <w:t>rcma-050 — Fix the note</w:t>
      </w:r>
    </w:p>
    <w:p>
      <w:r>
        <w:t>Status: Draft — ready for SME review · Section / node: Fix the note / rcma-sF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Fix the note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To summarise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Fix the note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invented notes, one node each: (1) "Body pain. Vit D + B12 + multivitamin." → choose the best rewrite (findings, deficiency evidence, single indicated supplement, follow-up); (2) "Cough. Augmentin." → choose specific diagnosis + findings justifying antibiotic; (3) "Check-up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the 6-point checklist from the script's summary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fix the note. Omar + Noor is placed l5.</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char-omar-avatar (host); char-noor-tip (hints) · placement L5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rcma-img-notes-1..3</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rcma-img-notes-1..3: Invented notes in HTML (real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Fix the note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 (host); char-noor-tip (hints) at 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 (host); char-noor-tip (hints) at L5.</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invented notes, one node each: (1) "Body pain. Vit D + B12 + multivitamin." → choose the best rewrite (findings, deficiency evidence, single indicated supplement, follow-up); (2) "Cough. Augmentin." → choose specific diagnosis + findings justifying antibiotic; (3) "Check-up. Full labs." → link to a covered condition or bill as appropriate. Score + 1 hint per node, no lives,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the 6-point checklist from the script's summary</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the 6-point checklist from the script's summary</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the 6-point checklist from the script's summary</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Debrief: the 6-point checklist from the script's summary</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w:t>
      </w:r>
    </w:p>
    <w:p>
      <w:r>
        <w:t>&gt;</w:t>
      </w:r>
    </w:p>
    <w:p>
      <w:pPr>
        <w:ind w:left="288"/>
      </w:pPr>
      <w:r>
        <w:rPr>
          <w:i/>
          <w:color w:val="5B6B7B"/>
        </w:rPr>
        <w:t>NOOR: That is the habit we want from every new colleague.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"rcma-050",</w:t>
      </w:r>
    </w:p>
    <w:p>
      <w:pPr>
        <w:pStyle w:val="StoryboardCode"/>
      </w:pPr>
      <w:r>
        <w:t xml:space="preserve">  "title": "Fix the note",</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"rcma-o5"</w:t>
      </w:r>
    </w:p>
    <w:p>
      <w:pPr>
        <w:pStyle w:val="StoryboardCode"/>
      </w:pPr>
      <w:r>
        <w:t xml:space="preserve">  ],</w:t>
      </w:r>
    </w:p>
    <w:p>
      <w:pPr>
        <w:pStyle w:val="StoryboardCode"/>
      </w:pPr>
      <w:r>
        <w:t xml:space="preserve">  "points": 25,</w:t>
      </w:r>
    </w:p>
    <w:p>
      <w:pPr>
        <w:pStyle w:val="StoryboardCode"/>
      </w:pPr>
      <w:r>
        <w:t xml:space="preserve">  "narration_script_id": "rcma-050",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B12; do not turn these source values into release policy until the named owner closes them.</w:t>
      </w:r>
    </w:p>
    <w:p>
      <w:pPr>
        <w:pStyle w:val="ListBullet"/>
      </w:pPr>
      <w:r>
        <w:t>Developer notes: Keep all policy wording as editable HTML, preserve the supplied client logo, and use the exact screen id rcma-050. Do not reuse source-video or source-deck imagery where the Phase 0 file prohibits it.</w:t>
      </w:r>
    </w:p>
    <w:p>
      <w:pPr/>
      <w:r>
        <w:t>────────────────────────────────────────────────────</w:t>
      </w:r>
    </w:p>
    <w:p>
      <w:pPr>
        <w:pStyle w:val="Heading3"/>
        <w:pageBreakBefore/>
      </w:pPr>
      <w:r>
        <w:t>rcma-090 — Results</w:t>
      </w:r>
    </w:p>
    <w:p>
      <w:r>
        <w:t>Status: Draft — ready for SME review · Section / node: Fix the note / rcma-sF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rcma-o1…o5, weak below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rcma-o1…o5, weak below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"rcma-090",</w:t>
      </w:r>
    </w:p>
    <w:p>
      <w:pPr>
        <w:pStyle w:val="StoryboardCode"/>
      </w:pPr>
      <w:r>
        <w:t xml:space="preserve">  "title": "Results",</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"points": 0,</w:t>
      </w:r>
    </w:p>
    <w:p>
      <w:pPr>
        <w:pStyle w:val="StoryboardCode"/>
      </w:pPr>
      <w:r>
        <w:t xml:space="preserve">  "narration_script_id": "rcma-090",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rcma-090. Do not reuse source-video or source-deck imagery where the Phase 0 file prohibits it.</w:t>
      </w:r>
    </w:p>
    <w:p>
      <w:pPr/>
      <w:r>
        <w:t>────────────────────────────────────────────────────</w:t>
      </w:r>
    </w:p>
    <w:p>
      <w:pPr>
        <w:pStyle w:val="Heading3"/>
        <w:pageBreakBefore/>
      </w:pPr>
      <w:r>
        <w:t>rcma-091 — List to keep</w:t>
      </w:r>
    </w:p>
    <w:p>
      <w:r>
        <w:t>Status: Draft — ready for SME review · Section / node: Fix the note / rcma-sF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Checklist to keep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To summarise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List to keep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 Be specific; avoid uncovered codes and combined supplements · ✔ Full data + plan with duration and outcome · ✔ Justify every service with a specific code; provisional diagnosis if needed · ✔ Think like a clinician and a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is placed l6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char-omar-success · placement L6 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rcma-pdf-checklist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rcma-pdf-checklist: One-page "Clear, strong, defensible" desk checklist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List to keep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 Be specific; avoid uncovered codes and combined supplements · ✔ Full data + plan with duration and outcome · ✔ Justify every service with a specific code; provisional diagnosis if needed · ✔ Think like a clinician and a reviewer · ✔ If you skip a protocol, document why · ✔ Clear, strong, defensible. Next: Part B</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 The aim is a decision you can repeat, not a phrase to recall. Link it to the task waiting for you tomorrow.</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"rcma-091",</w:t>
      </w:r>
    </w:p>
    <w:p>
      <w:pPr>
        <w:pStyle w:val="StoryboardCode"/>
      </w:pPr>
      <w:r>
        <w:t xml:space="preserve">  "title": "List to keep",</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"points": 0,</w:t>
      </w:r>
    </w:p>
    <w:p>
      <w:pPr>
        <w:pStyle w:val="StoryboardCode"/>
      </w:pPr>
      <w:r>
        <w:t xml:space="preserve">  "narration_script_id": "rcma-091",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7C0041"/>
          </w:tcPr>
          <w:p>
            <w:pPr>
              <w:spacing w:after="20"/>
            </w:pPr>
            <w:r>
              <w:rPr>
                <w:rFonts w:ascii="Montserrat" w:hAnsi="Montserrat"/>
                <w:b/>
                <w:color w:val="FFFFFF"/>
                <w:sz w:val="15"/>
              </w:rPr>
              <w:t>#</w:t>
            </w:r>
          </w:p>
        </w:tc>
        <w:tc>
          <w:tcPr>
            <w:tcW w:type="dxa" w:w="1162"/>
            <w:shd w:fill="7C0041"/>
          </w:tcPr>
          <w:p>
            <w:pPr>
              <w:spacing w:after="20"/>
            </w:pPr>
            <w:r>
              <w:rPr>
                <w:rFonts w:ascii="Montserrat" w:hAnsi="Montserrat"/>
                <w:b/>
                <w:color w:val="FFFFFF"/>
                <w:sz w:val="15"/>
              </w:rPr>
              <w:t>Screen id</w:t>
            </w:r>
          </w:p>
        </w:tc>
        <w:tc>
          <w:tcPr>
            <w:tcW w:type="dxa" w:w="1162"/>
            <w:shd w:fill="7C0041"/>
          </w:tcPr>
          <w:p>
            <w:pPr>
              <w:spacing w:after="20"/>
            </w:pPr>
            <w:r>
              <w:rPr>
                <w:rFonts w:ascii="Montserrat" w:hAnsi="Montserrat"/>
                <w:b/>
                <w:color w:val="FFFFFF"/>
                <w:sz w:val="15"/>
              </w:rPr>
              <w:t>Type</w:t>
            </w:r>
          </w:p>
        </w:tc>
        <w:tc>
          <w:tcPr>
            <w:tcW w:type="dxa" w:w="1162"/>
            <w:shd w:fill="7C0041"/>
          </w:tcPr>
          <w:p>
            <w:pPr>
              <w:spacing w:after="20"/>
            </w:pPr>
            <w:r>
              <w:rPr>
                <w:rFonts w:ascii="Montserrat" w:hAnsi="Montserrat"/>
                <w:b/>
                <w:color w:val="FFFFFF"/>
                <w:sz w:val="15"/>
              </w:rPr>
              <w:t>Scored</w:t>
            </w:r>
          </w:p>
        </w:tc>
        <w:tc>
          <w:tcPr>
            <w:tcW w:type="dxa" w:w="1162"/>
            <w:shd w:fill="7C0041"/>
          </w:tcPr>
          <w:p>
            <w:pPr>
              <w:spacing w:after="20"/>
            </w:pPr>
            <w:r>
              <w:rPr>
                <w:rFonts w:ascii="Montserrat" w:hAnsi="Montserrat"/>
                <w:b/>
                <w:color w:val="FFFFFF"/>
                <w:sz w:val="15"/>
              </w:rPr>
              <w:t>Pts</w:t>
            </w:r>
          </w:p>
        </w:tc>
        <w:tc>
          <w:tcPr>
            <w:tcW w:type="dxa" w:w="1162"/>
            <w:shd w:fill="7C0041"/>
          </w:tcPr>
          <w:p>
            <w:pPr>
              <w:spacing w:after="20"/>
            </w:pPr>
            <w:r>
              <w:rPr>
                <w:rFonts w:ascii="Montserrat" w:hAnsi="Montserrat"/>
                <w:b/>
                <w:color w:val="FFFFFF"/>
                <w:sz w:val="15"/>
              </w:rPr>
              <w:t>On-screen words</w:t>
            </w:r>
          </w:p>
        </w:tc>
        <w:tc>
          <w:tcPr>
            <w:tcW w:type="dxa" w:w="1162"/>
            <w:shd w:fill="7C0041"/>
          </w:tcPr>
          <w:p>
            <w:pPr>
              <w:spacing w:after="20"/>
            </w:pPr>
            <w:r>
              <w:rPr>
                <w:rFonts w:ascii="Montserrat" w:hAnsi="Montserrat"/>
                <w:b/>
                <w:color w:val="FFFFFF"/>
                <w:sz w:val="15"/>
              </w:rPr>
              <w:t>Narration words</w:t>
            </w:r>
          </w:p>
        </w:tc>
        <w:tc>
          <w:tcPr>
            <w:tcW w:type="dxa" w:w="1162"/>
            <w:shd w:fill="7C0041"/>
          </w:tcPr>
          <w:p>
            <w:pPr>
              <w:spacing w:after="20"/>
            </w:pPr>
            <w:r>
              <w:rPr>
                <w:rFonts w:ascii="Montserrat" w:hAnsi="Montserrat"/>
                <w:b/>
                <w:color w:val="FFFFFF"/>
                <w:sz w:val="15"/>
              </w:rPr>
              <w:t>Est. sec</w:t>
            </w:r>
          </w:p>
        </w:tc>
        <w:tc>
          <w:tcPr>
            <w:tcW w:type="dxa" w:w="1162"/>
            <w:shd w:fill="7C0041"/>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rcma-000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rcma-001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rcma-002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rcma-010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rcma-011</w:t>
            </w:r>
          </w:p>
        </w:tc>
        <w:tc>
          <w:tcPr>
            <w:tcW w:type="dxa" w:w="1162"/>
          </w:tcPr>
          <w:p>
            <w:pPr>
              <w:spacing w:after="20"/>
            </w:pPr>
            <w:r>
              <w:rPr>
                <w:rFonts w:ascii="Montserrat" w:hAnsi="Montserrat"/>
                <w:sz w:val="15"/>
              </w:rPr>
              <w:t>image_compare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rcma-012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rcma-013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rcma-020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79</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rcma-021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rcma-022</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89</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rcma-023</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rcma-030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84</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rcma-031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rcma-032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rcma-033</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rcma-040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rcma-041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73</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rcma-042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rcma-050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rcma-090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rcma-091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100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878</w:t>
            </w:r>
          </w:p>
        </w:tc>
        <w:tc>
          <w:tcPr>
            <w:tcW w:type="dxa" w:w="1162"/>
          </w:tcPr>
          <w:p>
            <w:pPr>
              <w:spacing w:after="20"/>
            </w:pPr>
            <w:r>
              <w:rPr>
                <w:rFonts w:ascii="Montserrat" w:hAnsi="Montserrat"/>
                <w:sz w:val="15"/>
              </w:rPr>
              <w:t>376 ≈ 6.3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Used on</w:t>
            </w:r>
          </w:p>
        </w:tc>
        <w:tc>
          <w:tcPr>
            <w:tcW w:type="dxa" w:w="1742"/>
            <w:shd w:fill="7C0041"/>
          </w:tcPr>
          <w:p>
            <w:pPr>
              <w:spacing w:after="20"/>
            </w:pPr>
            <w:r>
              <w:rPr>
                <w:rFonts w:ascii="Montserrat" w:hAnsi="Montserrat"/>
                <w:b/>
                <w:color w:val="FFFFFF"/>
                <w:sz w:val="15"/>
              </w:rPr>
              <w:t>Source</w:t>
            </w:r>
          </w:p>
        </w:tc>
        <w:tc>
          <w:tcPr>
            <w:tcW w:type="dxa" w:w="1742"/>
            <w:shd w:fill="7C0041"/>
          </w:tcPr>
          <w:p>
            <w:pPr>
              <w:spacing w:after="20"/>
            </w:pPr>
            <w:r>
              <w:rPr>
                <w:rFonts w:ascii="Montserrat" w:hAnsi="Montserrat"/>
                <w:b/>
                <w:color w:val="FFFFFF"/>
                <w:sz w:val="15"/>
              </w:rPr>
              <w:t>Alt text written?</w:t>
            </w:r>
          </w:p>
        </w:tc>
        <w:tc>
          <w:tcPr>
            <w:tcW w:type="dxa" w:w="1742"/>
            <w:shd w:fill="7C0041"/>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 using fictional teaching text.</w:t>
            </w:r>
          </w:p>
        </w:tc>
      </w:tr>
      <w:tr>
        <w:tc>
          <w:tcPr>
            <w:tcW w:type="dxa" w:w="1742"/>
          </w:tcPr>
          <w:p>
            <w:pPr>
              <w:spacing w:after="20"/>
            </w:pPr>
            <w:r>
              <w:rPr>
                <w:rFonts w:ascii="Montserrat" w:hAnsi="Montserrat"/>
                <w:sz w:val="15"/>
              </w:rPr>
              <w:t>rcma-img-note-strong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 using fictional teaching text.</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rcma-img-note-weak / -strong</w:t>
            </w:r>
          </w:p>
        </w:tc>
        <w:tc>
          <w:tcPr>
            <w:tcW w:type="dxa" w:w="1742"/>
          </w:tcPr>
          <w:p>
            <w:pPr>
              <w:spacing w:after="20"/>
            </w:pPr>
            <w:r>
              <w:rPr>
                <w:rFonts w:ascii="Montserrat" w:hAnsi="Montserrat"/>
                <w:sz w:val="15"/>
              </w:rPr>
              <w:t>SVG note cards</w:t>
            </w:r>
          </w:p>
        </w:tc>
        <w:tc>
          <w:tcPr>
            <w:tcW w:type="dxa" w:w="1742"/>
          </w:tcPr>
          <w:p>
            <w:pPr>
              <w:spacing w:after="20"/>
            </w:pPr>
            <w:r>
              <w:rPr>
                <w:rFonts w:ascii="Montserrat" w:hAnsi="Montserrat"/>
                <w:sz w:val="15"/>
              </w:rPr>
              <w:t>rcma-011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rcma-001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rcma-img-notes-1..3</w:t>
            </w:r>
          </w:p>
        </w:tc>
        <w:tc>
          <w:tcPr>
            <w:tcW w:type="dxa" w:w="1742"/>
          </w:tcPr>
          <w:p>
            <w:pPr>
              <w:spacing w:after="20"/>
            </w:pPr>
            <w:r>
              <w:rPr>
                <w:rFonts w:ascii="Montserrat" w:hAnsi="Montserrat"/>
                <w:sz w:val="15"/>
              </w:rPr>
              <w:t>HTML</w:t>
            </w:r>
          </w:p>
        </w:tc>
        <w:tc>
          <w:tcPr>
            <w:tcW w:type="dxa" w:w="1742"/>
          </w:tcPr>
          <w:p>
            <w:pPr>
              <w:spacing w:after="20"/>
            </w:pPr>
            <w:r>
              <w:rPr>
                <w:rFonts w:ascii="Montserrat" w:hAnsi="Montserrat"/>
                <w:sz w:val="15"/>
              </w:rPr>
              <w:t>rcma-050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rcma-pdf-checklist</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rcma-091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7C0041"/>
          </w:tcPr>
          <w:p>
            <w:pPr>
              <w:spacing w:after="20"/>
            </w:pPr>
            <w:r>
              <w:rPr>
                <w:rFonts w:ascii="Montserrat" w:hAnsi="Montserrat"/>
                <w:b/>
                <w:color w:val="FFFFFF"/>
                <w:sz w:val="15"/>
              </w:rPr>
              <w:t>#</w:t>
            </w:r>
          </w:p>
        </w:tc>
        <w:tc>
          <w:tcPr>
            <w:tcW w:type="dxa" w:w="2091"/>
            <w:shd w:fill="7C0041"/>
          </w:tcPr>
          <w:p>
            <w:pPr>
              <w:spacing w:after="20"/>
            </w:pPr>
            <w:r>
              <w:rPr>
                <w:rFonts w:ascii="Montserrat" w:hAnsi="Montserrat"/>
                <w:b/>
                <w:color w:val="FFFFFF"/>
                <w:sz w:val="15"/>
              </w:rPr>
              <w:t>Screen id</w:t>
            </w:r>
          </w:p>
        </w:tc>
        <w:tc>
          <w:tcPr>
            <w:tcW w:type="dxa" w:w="2091"/>
            <w:shd w:fill="7C0041"/>
          </w:tcPr>
          <w:p>
            <w:pPr>
              <w:spacing w:after="20"/>
            </w:pPr>
            <w:r>
              <w:rPr>
                <w:rFonts w:ascii="Montserrat" w:hAnsi="Montserrat"/>
                <w:b/>
                <w:color w:val="FFFFFF"/>
                <w:sz w:val="15"/>
              </w:rPr>
              <w:t>Question</w:t>
            </w:r>
          </w:p>
        </w:tc>
        <w:tc>
          <w:tcPr>
            <w:tcW w:type="dxa" w:w="2091"/>
            <w:shd w:fill="7C0041"/>
          </w:tcPr>
          <w:p>
            <w:pPr>
              <w:spacing w:after="20"/>
            </w:pPr>
            <w:r>
              <w:rPr>
                <w:rFonts w:ascii="Montserrat" w:hAnsi="Montserrat"/>
                <w:b/>
                <w:color w:val="FFFFFF"/>
                <w:sz w:val="15"/>
              </w:rPr>
              <w:t>Phase 0 owner</w:t>
            </w:r>
          </w:p>
        </w:tc>
        <w:tc>
          <w:tcPr>
            <w:tcW w:type="dxa" w:w="2091"/>
            <w:shd w:fill="7C0041"/>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Regulator name CCHI vs CHI</w:t>
            </w:r>
          </w:p>
        </w:tc>
        <w:tc>
          <w:tcPr>
            <w:tcW w:type="dxa" w:w="2091"/>
          </w:tcPr>
          <w:p>
            <w:pPr>
              <w:spacing w:after="20"/>
            </w:pPr>
            <w:r>
              <w:rPr>
                <w:rFonts w:ascii="Montserrat" w:hAnsi="Montserrat"/>
                <w:sz w:val="15"/>
              </w:rPr>
              <w:t>B1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Vitamin D repeat interval ("not less than 118")</w:t>
            </w:r>
          </w:p>
        </w:tc>
        <w:tc>
          <w:tcPr>
            <w:tcW w:type="dxa" w:w="2091"/>
          </w:tcPr>
          <w:p>
            <w:pPr>
              <w:spacing w:after="20"/>
            </w:pPr>
            <w:r>
              <w:rPr>
                <w:rFonts w:ascii="Montserrat" w:hAnsi="Montserrat"/>
                <w:sz w:val="15"/>
              </w:rPr>
              <w:t>B2 · RCM lead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HbA1c repeat interval ("before 89 day")</w:t>
            </w:r>
          </w:p>
        </w:tc>
        <w:tc>
          <w:tcPr>
            <w:tcW w:type="dxa" w:w="2091"/>
          </w:tcPr>
          <w:p>
            <w:pPr>
              <w:spacing w:after="20"/>
            </w:pPr>
            <w:r>
              <w:rPr>
                <w:rFonts w:ascii="Montserrat" w:hAnsi="Montserrat"/>
                <w:sz w:val="15"/>
              </w:rPr>
              <w:t>B3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ICD-10 edition used for claims in KSA (ICD-10-AM?) and the exact codes for each example: R50, R05, R11, K52, J03, I10, E66, L70, L66, L21, N46, N97, general check-up (Z00?)</w:t>
            </w:r>
          </w:p>
        </w:tc>
        <w:tc>
          <w:tcPr>
            <w:tcW w:type="dxa" w:w="2091"/>
          </w:tcPr>
          <w:p>
            <w:pPr>
              <w:spacing w:after="20"/>
            </w:pPr>
            <w:r>
              <w:rPr>
                <w:rFonts w:ascii="Montserrat" w:hAnsi="Montserrat"/>
                <w:sz w:val="15"/>
              </w:rPr>
              <w:t>B4 · Coding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Obesity: uncovered, but covered with BMI &gt; 40 and surgical referral</w:t>
            </w:r>
          </w:p>
        </w:tc>
        <w:tc>
          <w:tcPr>
            <w:tcW w:type="dxa" w:w="2091"/>
          </w:tcPr>
          <w:p>
            <w:pPr>
              <w:spacing w:after="20"/>
            </w:pPr>
            <w:r>
              <w:rPr>
                <w:rFonts w:ascii="Montserrat" w:hAnsi="Montserrat"/>
                <w:sz w:val="15"/>
              </w:rPr>
              <w:t>B5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PCOS hormonal assessment rejected vs menopause hormonal assessment and HRT approved</w:t>
            </w:r>
          </w:p>
        </w:tc>
        <w:tc>
          <w:tcPr>
            <w:tcW w:type="dxa" w:w="2091"/>
          </w:tcPr>
          <w:p>
            <w:pPr>
              <w:spacing w:after="20"/>
            </w:pPr>
            <w:r>
              <w:rPr>
                <w:rFonts w:ascii="Montserrat" w:hAnsi="Montserrat"/>
                <w:sz w:val="15"/>
              </w:rPr>
              <w:t>B6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Mental-health sub-limit 50,000 SAR + pre-authorisation</w:t>
            </w:r>
          </w:p>
        </w:tc>
        <w:tc>
          <w:tcPr>
            <w:tcW w:type="dxa" w:w="2091"/>
          </w:tcPr>
          <w:p>
            <w:pPr>
              <w:spacing w:after="20"/>
            </w:pPr>
            <w:r>
              <w:rPr>
                <w:rFonts w:ascii="Montserrat" w:hAnsi="Montserrat"/>
                <w:sz w:val="15"/>
              </w:rPr>
              <w:t>B7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"Combined supplements are treated as defensive medicine"</w:t>
            </w:r>
          </w:p>
        </w:tc>
        <w:tc>
          <w:tcPr>
            <w:tcW w:type="dxa" w:w="2091"/>
          </w:tcPr>
          <w:p>
            <w:pPr>
              <w:spacing w:after="20"/>
            </w:pPr>
            <w:r>
              <w:rPr>
                <w:rFonts w:ascii="Montserrat" w:hAnsi="Montserrat"/>
                <w:sz w:val="15"/>
              </w:rPr>
              <w:t>B8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Pre-authorisation workflow ("submit diagnosis with the request to get pre-authorisation at the first attempt")</w:t>
            </w:r>
          </w:p>
        </w:tc>
        <w:tc>
          <w:tcPr>
            <w:tcW w:type="dxa" w:w="2091"/>
          </w:tcPr>
          <w:p>
            <w:pPr>
              <w:spacing w:after="20"/>
            </w:pPr>
            <w:r>
              <w:rPr>
                <w:rFonts w:ascii="Montserrat" w:hAnsi="Montserrat"/>
                <w:sz w:val="15"/>
              </w:rPr>
              <w:t>B9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Clinical examples (IV fluids for dehydration; multi-joint pain with anti-DNA/anti-Ro/anti-La)</w:t>
            </w:r>
          </w:p>
        </w:tc>
        <w:tc>
          <w:tcPr>
            <w:tcW w:type="dxa" w:w="2091"/>
          </w:tcPr>
          <w:p>
            <w:pPr>
              <w:spacing w:after="20"/>
            </w:pPr>
            <w:r>
              <w:rPr>
                <w:rFonts w:ascii="Montserrat" w:hAnsi="Montserrat"/>
                <w:sz w:val="15"/>
              </w:rPr>
              <w:t>B10 · Medical Director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Term</w:t>
            </w:r>
          </w:p>
        </w:tc>
        <w:tc>
          <w:tcPr>
            <w:tcW w:type="dxa" w:w="3485"/>
            <w:shd w:fill="7C0041"/>
          </w:tcPr>
          <w:p>
            <w:pPr>
              <w:spacing w:after="20"/>
            </w:pPr>
            <w:r>
              <w:rPr>
                <w:rFonts w:ascii="Montserrat" w:hAnsi="Montserrat"/>
                <w:b/>
                <w:color w:val="FFFFFF"/>
                <w:sz w:val="15"/>
              </w:rPr>
              <w:t>Say it as</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rcma-000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(10 scored / 100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MC-SB-05 v0.2 · Module 05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MC-SB-05 v0.2  |  MODULE 05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