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003867"/>
          </w:tcPr>
          <w:p>
            <w:r/>
          </w:p>
        </w:tc>
      </w:tr>
    </w:tbl>
    <w:p>
      <w:pPr>
        <w:spacing w:before="200"/>
        <w:jc w:val="left"/>
      </w:pPr>
      <w:r>
        <w:drawing>
          <wp:inline xmlns:a="http://schemas.openxmlformats.org/drawingml/2006/main" xmlns:pic="http://schemas.openxmlformats.org/drawingml/2006/picture">
            <wp:extent cx="1572768" cy="598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59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60" w:after="60"/>
      </w:pPr>
      <w:r>
        <w:t>My Clinic — Phase 0 kick-off pack</w:t>
      </w:r>
    </w:p>
    <w:p>
      <w:pPr>
        <w:spacing w:after="200"/>
      </w:pPr>
      <w:r>
        <w:rPr>
          <w:b/>
        </w:rPr>
        <w:t xml:space="preserve">Kick-off working document · </w:t>
      </w:r>
      <w:r>
        <w:t>Agenda, attendees, pre-reads and the complete open-decision list with owners and due dates. Recommended answers are drafts for the named owner to confirm in writing; nothing here is approved course content.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03867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5227"/>
          </w:tcPr>
          <w:p>
            <w:r>
              <w:rPr>
                <w:sz w:val="17"/>
              </w:rPr>
              <w:t>MC-KO-01 · Phase 0 kick-off pack + decision sheet</w:t>
            </w:r>
          </w:p>
        </w:tc>
      </w:tr>
      <w:tr>
        <w:tc>
          <w:tcPr>
            <w:tcW w:type="dxa" w:w="5227"/>
            <w:shd w:fill="003867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5227"/>
          </w:tcPr>
          <w:p>
            <w:r>
              <w:rPr>
                <w:sz w:val="17"/>
              </w:rPr>
              <w:t>v0.1 · 14 October 2026</w:t>
            </w:r>
          </w:p>
        </w:tc>
      </w:tr>
      <w:tr>
        <w:tc>
          <w:tcPr>
            <w:tcW w:type="dxa" w:w="5227"/>
            <w:shd w:fill="003867"/>
          </w:tcPr>
          <w:p>
            <w:r>
              <w:rPr>
                <w:b/>
                <w:color w:val="FFFFFF"/>
              </w:rPr>
              <w:t>Proposed kick-off</w:t>
            </w:r>
          </w:p>
        </w:tc>
        <w:tc>
          <w:tcPr>
            <w:tcW w:type="dxa" w:w="5227"/>
          </w:tcPr>
          <w:p>
            <w:r>
              <w:rPr>
                <w:sz w:val="17"/>
              </w:rPr>
              <w:t>Monday 2026-10-19 (week 1 of the proposal timeline)</w:t>
            </w:r>
          </w:p>
        </w:tc>
      </w:tr>
      <w:tr>
        <w:tc>
          <w:tcPr>
            <w:tcW w:type="dxa" w:w="5227"/>
            <w:shd w:fill="00386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7"/>
              </w:rPr>
              <w:t>Working document — decisions are recorded in the Phase 0 files, not here</w:t>
            </w:r>
          </w:p>
        </w:tc>
      </w:tr>
      <w:tr>
        <w:tc>
          <w:tcPr>
            <w:tcW w:type="dxa" w:w="5227"/>
            <w:shd w:fill="003867"/>
          </w:tcPr>
          <w:p>
            <w:r>
              <w:rPr>
                <w:b/>
                <w:color w:val="FFFFFF"/>
              </w:rPr>
              <w:t>Sources</w:t>
            </w:r>
          </w:p>
        </w:tc>
        <w:tc>
          <w:tcPr>
            <w:tcW w:type="dxa" w:w="5227"/>
          </w:tcPr>
          <w:p>
            <w:r>
              <w:rPr>
                <w:sz w:val="17"/>
              </w:rPr>
              <w:t>00_program/kickoff-pack.md + 00_program/decision-sheet.md (generated)</w:t>
            </w:r>
          </w:p>
        </w:tc>
      </w:tr>
      <w:tr>
        <w:tc>
          <w:tcPr>
            <w:tcW w:type="dxa" w:w="5227"/>
            <w:shd w:fill="003867"/>
          </w:tcPr>
          <w:p>
            <w:r>
              <w:rPr>
                <w:b/>
                <w:color w:val="FFFFFF"/>
              </w:rPr>
              <w:t>Companion files</w:t>
            </w:r>
          </w:p>
        </w:tc>
        <w:tc>
          <w:tcPr>
            <w:tcW w:type="dxa" w:w="5227"/>
          </w:tcPr>
          <w:p>
            <w:r>
              <w:rPr>
                <w:sz w:val="17"/>
              </w:rPr>
              <w:t>client-review pack (9 Word docs) · decision-sheet.csv · storyboard-review-register.csv · proposal Rev01</w:t>
            </w:r>
          </w:p>
        </w:tc>
      </w:tr>
    </w:tbl>
    <w:p>
      <w:r>
        <w:br w:type="page"/>
      </w:r>
    </w:p>
    <w:p>
      <w:pPr>
        <w:pStyle w:val="Heading1"/>
      </w:pPr>
      <w:r>
        <w:t>Phase 0 kick-off pack — My Clinic induction e-learning</w:t>
      </w:r>
    </w:p>
    <w:p>
      <w:pPr>
        <w:ind w:left="288"/>
      </w:pPr>
      <w:r>
        <w:rPr>
          <w:i/>
          <w:color w:val="5B6B7B"/>
        </w:rPr>
        <w:t>Document MC-KO-01 · v0.2 · 2026-10-19 (v0.1 2026-10-14). Working pack for the Phase 0 kick-off meeting</w:t>
      </w:r>
    </w:p>
    <w:p>
      <w:pPr>
        <w:ind w:left="288"/>
      </w:pPr>
      <w:r>
        <w:rPr>
          <w:i/>
          <w:color w:val="5B6B7B"/>
        </w:rPr>
        <w:t>(proposed Monday 2026-10-19, week 1 of the proposal timeline). It exists so the meeting</w:t>
      </w:r>
    </w:p>
    <w:p>
      <w:pPr>
        <w:ind w:left="288"/>
      </w:pPr>
      <w:r>
        <w:rPr>
          <w:i/>
          <w:color w:val="5B6B7B"/>
        </w:rPr>
        <w:t>closes decisions instead of discovering them: every open item already has an owner role, a</w:t>
      </w:r>
    </w:p>
    <w:p>
      <w:pPr>
        <w:ind w:left="288"/>
      </w:pPr>
      <w:r>
        <w:rPr>
          <w:i/>
          <w:color w:val="5B6B7B"/>
        </w:rPr>
        <w:t>draft recommendation and a due date in the decision sheet.</w:t>
      </w:r>
    </w:p>
    <w:p>
      <w:pPr>
        <w:ind w:left="288"/>
      </w:pPr>
      <w:r>
        <w:rPr>
          <w:i/>
          <w:color w:val="5B6B7B"/>
        </w:rPr>
        <w:t>Nothing in this pack is approved course content; recommended answers are drafts for the named</w:t>
      </w:r>
    </w:p>
    <w:p>
      <w:pPr>
        <w:ind w:left="288"/>
      </w:pPr>
      <w:r>
        <w:rPr>
          <w:i/>
          <w:color w:val="5B6B7B"/>
        </w:rPr>
        <w:t>owner to confirm in writing.</w:t>
      </w:r>
    </w:p>
    <w:p>
      <w:pPr/>
      <w:r>
        <w:t>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What is ready, in one paragraph</w:t>
      </w:r>
    </w:p>
    <w:p>
      <w:r>
        <w:t>Eight SCORM packages (six client courses), 207 core screens, 95 scored activities, ~62 minutes of</w:t>
      </w:r>
    </w:p>
    <w:p>
      <w:r>
        <w:t>two-voice narration, all at storyboard v0.2 with clean planning lint, a branded visual board per</w:t>
      </w:r>
    </w:p>
    <w:p>
      <w:r>
        <w:t>module, an asset register per module and a client-shareable Word rendering per module. Proposal</w:t>
      </w:r>
    </w:p>
    <w:p>
      <w:r>
        <w:t>Rev01 matches those numbers. What is *not* ready is every fact that My Clinic owns: 102 open</w:t>
      </w:r>
    </w:p>
    <w:p>
      <w:r>
        <w:t>decisions (28 safety/PHI/incident, 3 programme enablers, 71 module content facts), the voice route</w:t>
      </w:r>
    </w:p>
    <w:p>
      <w:r>
        <w:t>(D10), the LMS and SCORM version (D9), brand confirmation (D11), and the module-08 test-environment</w:t>
      </w:r>
    </w:p>
    <w:p>
      <w:r>
        <w:t>captures. Release builds cannot start until the tier-1 and tier-3 rows are closed.</w:t>
      </w:r>
    </w:p>
    <w:p>
      <w:r>
        <w:t>New since v0.1 (2026-10-19): all eight packages exist as compiled, validated v0.1-draft SCORM</w:t>
      </w:r>
    </w:p>
    <w:p>
      <w:r>
        <w:t>packages (open facts shown as ⚠ Draft — pending); the full-size Noor and Dr. Omar artwork is in;</w:t>
      </w:r>
    </w:p>
    <w:p>
      <w:r>
        <w:t>every screen carries the My Clinic brand weave. Because My Clinic runs Oracle Applications Cloud, the</w:t>
      </w:r>
    </w:p>
    <w:p>
      <w:r>
        <w:t>packages are now SCORM 1.2 for Oracle Learning, and an 8-minute Oracle Learning sample package</w:t>
      </w:r>
    </w:p>
    <w:p>
      <w:r>
        <w:t>with a test guide is ready for the LMS team — bring the result of that test to close D9.</w:t>
      </w:r>
    </w:p>
    <w:p>
      <w:pPr>
        <w:pStyle w:val="Heading2"/>
      </w:pPr>
      <w:r>
        <w:t>2. Proposed 90-minute session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Min</w:t>
            </w:r>
          </w:p>
        </w:tc>
        <w:tc>
          <w:tcPr>
            <w:tcW w:type="dxa" w:w="2613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613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Lead</w:t>
            </w:r>
          </w:p>
        </w:tc>
        <w:tc>
          <w:tcPr>
            <w:tcW w:type="dxa" w:w="2613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Outcome before leaving the room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0–10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Programme shape: 6 courses / 8 packages, learning path 03 → 07 → 01 → 02 → 04 → 05 → 06 → 08, Rev01 figures, 9–10 week plan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L2S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Shared picture; no debate on scope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10–25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Walk one storyboard end to end (module 04, 13 screens): what a v0.2 card contains, the ⚠ PENDING convention, what the Word pack shows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L2S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Reviewers know how to read the pack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25–45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Tier 1 (28 rows): D1 Code Orange, D2 code sheet + real extensions, D5 personal data, D6 IT video/PHI, D8 24-hour rule, plus the safety, radiation, IPSG, identifier and test-environment rows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Manager, RSO, Nursing Director, DPO, IT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Owner + date confirmed per row; where the draft recommendation is accepted, say so and write it down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45–60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Tier 3 enablers: D9 LMS + SCORM version (Oracle Learning, SCORM 1.2 — sample test result), D10 voice route (hear the two companion voice briefs), D11 brand confirmation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L&amp;D/IT, course owner, Marketing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Three decisions or a named date inside week 2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60–80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Tier 2 by module (71 rows): agree the route, not the answers — who confirms leave tables, ICD-10 edition, rejection-log rebuild, org-chart lines, branch names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Module SMEs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Each module's rows assigned with dates ≤ 2026-10-30</w:t>
            </w:r>
          </w:p>
        </w:tc>
      </w:tr>
      <w:tr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80–90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Write-back procedure, tracker import of the register CSV, next checkpoint, pilot window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L2S</w:t>
            </w:r>
          </w:p>
        </w:tc>
        <w:tc>
          <w:tcPr>
            <w:tcW w:type="dxa" w:w="2613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Calendar entries; procedure accepted</w:t>
            </w:r>
          </w:p>
        </w:tc>
      </w:tr>
    </w:tbl>
    <w:p>
      <w:pPr>
        <w:pStyle w:val="Heading2"/>
      </w:pPr>
      <w:r>
        <w:t>3. Who should be in the room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522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Decisions they own in this meeting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&amp; Security Manager (SME lead 01/02)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D1, D2, D12; 01 B1–B10; 02 B1–B9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Radiation Safety Officer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B4, B5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Facilities / Engineering + Infection Control / EHS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B6, B7; 02 spill and waste rows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lead + Communications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B1–B14; D3, D5, D13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Director of Operations + My Care Manager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B1–B7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lead, Coding lead, Payer Relations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B1–B10; 06 B1–B9; D4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Director + Patient Safety / Risk Manager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B1–B11, NEW-01, P01; D7, D8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Applications lead + DPO + IT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B1–B10; D6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 / course owner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D9, D10, D14; scope and seat time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Marketing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D11</w:t>
            </w:r>
          </w:p>
        </w:tc>
      </w:tr>
    </w:tbl>
    <w:p>
      <w:pPr>
        <w:pStyle w:val="Heading2"/>
      </w:pPr>
      <w:r>
        <w:t>4. Pre-reads (send with the invite)</w:t>
      </w:r>
    </w:p>
    <w:p>
      <w:pPr>
        <w:pStyle w:val="ListNumber"/>
      </w:pPr>
      <w:r>
        <w:t>Proposal Rev01 (PDF) — numbers and phases.</w:t>
      </w:r>
    </w:p>
    <w:p>
      <w:pPr>
        <w:pStyle w:val="ListNumber"/>
      </w:pPr>
      <w:r>
        <w:t>Storyboard review pack (Word index) and the eight module renderings in ../client-review/.</w:t>
      </w:r>
    </w:p>
    <w:p>
      <w:pPr>
        <w:pStyle w:val="ListNumber"/>
      </w:pPr>
      <w:r>
        <w:t>Decision sheet (Markdown) · tracker CSV — the 102 open rows.</w:t>
      </w:r>
    </w:p>
    <w:p>
      <w:pPr>
        <w:pStyle w:val="ListNumber"/>
      </w:pPr>
      <w:r>
        <w:t>SME / build-detail register CSV — the 52 screen-level authoring questions (import into your tracker).</w:t>
      </w:r>
    </w:p>
    <w:p>
      <w:pPr>
        <w:pStyle w:val="ListNumber"/>
      </w:pPr>
      <w:r>
        <w:t>Asset &amp; template audit — what exists, what is still to be supplied (consented photos, test captures; companion art is done).</w:t>
      </w:r>
    </w:p>
    <w:p>
      <w:pPr>
        <w:pStyle w:val="ListNumber"/>
      </w:pPr>
      <w:r>
        <w:t>Programme status, the project map and the production board.</w:t>
      </w:r>
    </w:p>
    <w:p>
      <w:pPr>
        <w:pStyle w:val="ListNumber"/>
      </w:pPr>
      <w:r>
        <w:t>Oracle Learning sample package + test guide — for the LMS administrator before the D9 item.</w:t>
      </w:r>
    </w:p>
    <w:p>
      <w:pPr>
        <w:pStyle w:val="Heading2"/>
      </w:pPr>
      <w:r>
        <w:t>5. Same-day write-back procedure</w:t>
      </w:r>
    </w:p>
    <w:p>
      <w:pPr>
        <w:pStyle w:val="ListNumber"/>
      </w:pPr>
      <w:r>
        <w:t>Owner writes the decision and its source (policy number, poster, email, screenshot) in the</w:t>
      </w:r>
    </w:p>
    <w:p>
      <w:r>
        <w:t>file named in the decision sheet's “Write back to” column: cross-module-decisions.md for D*,</w:t>
      </w:r>
    </w:p>
    <w:p>
      <w:r>
        <w:t>the module's phase-0-source-lock.md (§2 row + §4 verified-facts register) for B*/NEW*.</w:t>
      </w:r>
    </w:p>
    <w:p>
      <w:pPr>
        <w:pStyle w:val="ListNumber"/>
      </w:pPr>
      <w:r>
        <w:t>Status becomes Closed (YYYY-MM-DD) in that file.</w:t>
      </w:r>
    </w:p>
    <w:p>
      <w:pPr>
        <w:pStyle w:val="ListNumber"/>
      </w:pPr>
      <w:r>
        <w:t>L2S reruns the gate chain (roadmap §standard exit gate): generator/normaliser → lint_planning.py</w:t>
      </w:r>
    </w:p>
    <w:p>
      <w:r>
        <w:t>→ build_scorm_structure.py → export_storyboard_docx.py → build_decision_sheet.py (the closed</w:t>
      </w:r>
    </w:p>
    <w:p>
      <w:r>
        <w:t>row disappears from the open list) → export_kickoff_docx.py → audit_assets.py, which must exit</w:t>
      </w:r>
    </w:p>
    <w:p>
      <w:r>
        <w:t>clean.</w:t>
      </w:r>
    </w:p>
    <w:p>
      <w:pPr>
        <w:pStyle w:val="ListNumber"/>
      </w:pPr>
      <w:r>
        <w:t>If a decision changes a screen (wording, number, branch name), the same PR updates the Phase 2</w:t>
      </w:r>
    </w:p>
    <w:p>
      <w:r>
        <w:t>row and the storyboard card — never the card alone.</w:t>
      </w:r>
    </w:p>
    <w:p>
      <w:pPr>
        <w:pStyle w:val="Heading2"/>
      </w:pPr>
      <w:r>
        <w:t>6. What the room does not decide</w:t>
      </w:r>
    </w:p>
    <w:p>
      <w:pPr>
        <w:pStyle w:val="ListBullet"/>
      </w:pPr>
      <w:r>
        <w:t>Clinical or policy judgement beyond the sources: the plans only carry what the source documents</w:t>
      </w:r>
    </w:p>
    <w:p>
      <w:r>
        <w:t>say, marked ⚠ PENDING until an owner confirms.</w:t>
      </w:r>
    </w:p>
    <w:p>
      <w:pPr>
        <w:pStyle w:val="ListBullet"/>
      </w:pPr>
      <w:r>
        <w:t>LMS procurement and licence cost (D9 records the platform and SCORM version only).</w:t>
      </w:r>
    </w:p>
    <w:p>
      <w:pPr>
        <w:pStyle w:val="ListBullet"/>
      </w:pPr>
      <w:r>
        <w:t>Voice provider contract value (D10 records route, provider and voice ids only).</w:t>
      </w:r>
    </w:p>
    <w:p>
      <w:pPr>
        <w:pStyle w:val="ListBullet"/>
      </w:pPr>
      <w:r>
        <w:t>Anything that would put real patient, staff or claim data into a package: those rows close with</w:t>
      </w:r>
    </w:p>
    <w:p>
      <w:r>
        <w:t>“rebuild with fictional data”, never with “use the source file”.</w:t>
      </w:r>
    </w:p>
    <w:p>
      <w:pPr>
        <w:pStyle w:val="Heading2"/>
      </w:pPr>
      <w:r>
        <w:t>7. After the kick-off</w:t>
      </w:r>
    </w:p>
    <w:p>
      <w:r>
        <w:t>Tier 1 + tier 3 closed → chunks C2–C5 (SME build-detail closure per module pair) and C6–C9</w:t>
      </w:r>
    </w:p>
    <w:p>
      <w:r>
        <w:t>(voices, companion art, brand, 08 captures) start in parallel; Phase 3 media production (C10–C13)</w:t>
      </w:r>
    </w:p>
    <w:p>
      <w:r>
        <w:t>follows per module in build order. See next-phases-roadmap.md.</w:t>
      </w:r>
    </w:p>
    <w:p>
      <w:r>
        <w:br w:type="page"/>
      </w:r>
    </w:p>
    <w:p>
      <w:pPr>
        <w:pStyle w:val="Heading1"/>
        <w:pageBreakBefore w:val="0"/>
      </w:pPr>
      <w:r>
        <w:t>Attachment — Phase 0 decision sheet (open rows)</w:t>
      </w:r>
    </w:p>
    <w:p>
      <w:pPr>
        <w:ind w:left="288"/>
      </w:pPr>
      <w:r>
        <w:rPr>
          <w:i/>
          <w:color w:val="5B6B7B"/>
        </w:rPr>
        <w:t>Generated by tools/build_decision_sheet.py on 2026-10-14 from the controlled Phase 0 files, the cross-module decision log, the SCORM structure summary and programme gap G2/G4. Proposed kick-off: 2026-10-19 (proposed). Recommended answers are drafts copied from the plans for the owner to confirm — nothing here is policy until the owner writes it into the file named in “Write back to”.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522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Count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 decisions listed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102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Tier 1 — safety, identifiers, PHI, incident rules (due 2026-10-22 (K+3 wd))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28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Tier 3 — programme enablers D9/D10/D11 (due 2026-10-26 (K+5 wd))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3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Tier 2 — module content facts (due 2026-10-30 (end of week 2))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71</w:t>
            </w:r>
          </w:p>
        </w:tc>
      </w:tr>
    </w:tbl>
    <w:p>
      <w:r>
        <w:t>How to close a row: the owner writes the decision and its source (policy number, poster, email) in the Phase 0 / decision-log file named in “Write back to”, sets its status to Closed (date), then rerun the standard gate chain (see next-phases-roadmap.md). This sheet is regenerated, never edited by hand.</w:t>
      </w:r>
    </w:p>
    <w:p>
      <w:pPr>
        <w:pStyle w:val="Heading2"/>
      </w:pPr>
      <w:r>
        <w:t>Tier 1 — due 2026-10-22 (K+3 wd)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Module(s)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Recommended answer (draft)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Owner (role)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Due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Write back to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Code Orange threshold (source: p.40 vs H&amp;S 2 p.22)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See program decision D1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Code names and extension numbers (11 codes + 2 announcements) (source: pp.17–19)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See D2. Need the facility's code poster.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Radiation dose limits and bands (2 mSv / 3 months, 20 mSv / year; 1.25 / 1.25–3.75 / &gt; 3.75 mSv) (source: p.59)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against current national regulation and facility policy; confirm whether the bands are per quarter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RSO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Laser class table wording ("3" vs "3R" vs "3B") (source: p.61)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current IEC class names used at the facility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RSO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Waste segregation bin colours (source: p.41)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The deck says colours vary; get the facility's bin colours so the drag-and-drop matches real bins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Infection Control / EHS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Code Orange threshold ("&lt; 1 L minor" vs "&gt; 500 mL Code Orange") (source: p.22)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Extension "5555" placeholder on the bilingual code table (source: p.5)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D2; also Code Silver wording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 + Switchboard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Spill-kit procedure page is blank (source: p.29)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Write the procedure. Proposed: PPE per SDS → isolate &amp; warn → contain the edges → absorb / neutralise → bag, seal, label as hazardous waste → clean area → report to supervisor &amp; Safety Services → restock the kit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Empty contact boxes on the closing page (source: p.31)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Contact role + extension for the final screen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03/B13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SCFHS rule: suspension with 30 days left before licence expiry (source: 49)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B13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03/B14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Ethics: "incident report within 24 hours" for ethical dilemmas (source: 21)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Keep consistent with module 07 (program D8)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Compliance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B14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Personal data: leader photos and names, HR help-desk emails and named contacts, presenter name (source: 2, 12–13, 30)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D5. Recommended: leaders with consent; help desk as role mailboxes, no personal names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DPO + 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Rejection log (slide 6): claim numbers, provider names, dates (source: 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Do not use the image. Rebuild 8–10 rows with invented claim ids and only the rejection comment + diagnosis; DPO approves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 + DPO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Transcript accuracy — the narration was machine-transcribed with heavy errors (source: whole video; CHUNKS_10s.md)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One person listens to the full video and corrects the cleaned narration in the source Markdown §3. No sentence is quoted until this is done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 + Quality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Video licence and NotebookLM watermark (source: frames 00:40–05:20)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D7 (recommended: do not ship the video)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IPSG wording and numbering (Goal 1 identification … Goal 6 falls) (source: 02:40–04:10)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Match the facility's IPSG policy (JCI/CBAHI wording)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Patient Safety Officer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Identifier rule: full name + MRN; age and room never; add DOB or ID when names match (source: 03:20 frame)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two identifiers and the "same name" rule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Nursing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Fall-risk identifier: bright-yellow band (source: 04:10 (narration only))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against the falls policy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Nursing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Incident definitions: critical / sentinel event vs adverse event vs near miss; examples (source: 06:25–07:20)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terms used in the incident policy ("critical incident" vs "sentinel event")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Risk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24-hour reporting rule; channel (online system / email); severity 1–2 escalated within department (source: 07:30–08:40)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D8; confirm channel name and severity levels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Risk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Patient identifiers in IT.mp4 (5:10–6:10 full record; 7:10–7:20 phone; 8:30 ID) (source: video)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D6: the video and its frames are not used. Decide separately whether to remove the file from Git history and Drive sharing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IT + DPO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Test environment + test patient ("Test Simplified Template Launch" or new) for all new screenshots (source: —)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Provide test login, test patient with fictional demographics, and a capture session (1920×1080, browser zoom 125% for legibility)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Mandatory fields before completing a consultation (source: 00:30, 07:30)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Exact list (chief complaint, duration, HPI, past history incl. allergies and medications, examination, plan of care, diagnosis, patient &amp; family education?)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01, 02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Code Orange spill threshold [1]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Recommended: *spill ≥ 500 mL, or any highly toxic/reactive/explosive substance → Code Orange; otherwise call the cleaning supervisor.* Removes the "&lt; 1 L minor spill" wording.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&amp; Security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01, 02, 07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Emergency code sheet — one naming set (e.g. Code Silver "violent situation involving a weapon" vs "active shooter with weapon"; RRT included or not) and the real extension numbers (decks show "5555") [2]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Use the facility's current MOH code poster as the single source. Code Blue 2222 is national.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&amp; Security Manager + Switchboard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03, 04, 06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Personal data policy for the course: staff names, photos, emails, claim numbers [17]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Recommended: roles on screen, names in a linked live directory; leadership photos only with consent; claim log fully anonymised and rebuilt.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+ Data Protection Officer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IT video with patient identifiers [13, 18]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Do not use IT.mp4 in any package. Re-capture all screens on a test patient. Separately decide whether to purge the file from Git history.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IT + Data Protection Officer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03, 07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Incident reporting window — 24 hours (Quality video and HR ethics slide)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against the incident-reporting policy; keep the same wording in both modules.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/ Risk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2026-10-22 (K+3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</w:tbl>
    <w:p>
      <w:pPr>
        <w:pStyle w:val="Heading2"/>
      </w:pPr>
      <w:r>
        <w:t>Tier 3 — due 2026-10-26 (K+5 wd)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Module(s)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Recommended answer (draft)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Owner (role)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Due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Write back to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D10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all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Voice route and provider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External English TTS for release 1 (see narration-and-lexicon.md).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Course owner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2026-10-26 (K+5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all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Brand kit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Brand taken from My Clinic's own decks (brand/brand-identity.md): navy #003867, value colours, Montserrat, logo files. Marketing to confirm or send the official guide.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Marketing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2026-10-26 (K+5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 — draft in use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all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LMS and SCORM version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My Clinic uses Oracle Applications Cloud (HR source: Oracle self-service), so the LMS is expected to be Oracle Learning. Recommended: SCORM 1.2 for all eight packages (Oracle documents 1.2 and 2004 Ed. 2–3; compiler emits 2004 4th Ed.). Confirm with the sample package test (00_sample-oracle-pilot/).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 / IT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2026-10-26 (K+5 wd)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 — recommendation applied to builds, awaiting Oracle sample-test result</w:t>
            </w:r>
          </w:p>
        </w:tc>
      </w:tr>
    </w:tbl>
    <w:p>
      <w:pPr>
        <w:pStyle w:val="Heading2"/>
      </w:pPr>
      <w:r>
        <w:t>Tier 2 — due 2026-10-30 (end of week 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Module(s)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Recommended answer (draft)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Owner (role)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Due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Write back to</w:t>
            </w:r>
          </w:p>
        </w:tc>
        <w:tc>
          <w:tcPr>
            <w:tcW w:type="dxa" w:w="1307"/>
            <w:shd w:fill="003867"/>
          </w:tcPr>
          <w:p>
            <w:pPr>
              <w:spacing w:after="20"/>
            </w:pPr>
            <w:r>
              <w:rPr>
                <w:rFonts w:ascii="Montserrat" w:hAnsi="Montserrat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01/B10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Completion actions (acknowledgement form, evacuation route, numbers) (source: p.65)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How the acknowledgement is captured (see D14)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B10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[Facility Name], [Month Year] placeholders (source: p.1)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Facility name(s) to show; or "My Clinic" generic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Emergency (red) socket colour and generator timing ("within seconds") (source: p.46)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for each branch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Facilities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Department Safety Liaison list (source: p.14)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Not needed on screen; learners are told to ask their supervisor. Confirm the wording.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Accreditation references (CBAHI chapter name, ISO 45001 rights) (source: pp.3, 15)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current CBAHI edition and wording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/ Accreditation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 FMS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4 objective(s) assessed by one scored screen (hs1-o1, hs1-o6, hs1-o7, hs1-o10)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hs1-o1: accept single-evidence at SME sign-off, or add a short check; hs1-o6: add one second short scored check (Phase 2 change, SME approves); hs1-o7: add one second short scored check (Phase 2 change, SME approves); hs1-o10: capstone — accept the single case at sign-off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01_health-and-safety-1/phase-1-action-map.md evidence map + 01_health-and-safety-1/phase-2-storyboard.md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"First Clinic" template / other author in PDF metadata (source: metadata)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D12; until closed, use no H&amp;S 2 images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Chemical register example (Radiology, Sep 2025): product names, volumes, NFPA ratings small and partly unreadable (source: p.25)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Get the current register (any department) as a spreadsheet; anonymise supplier details; confirm NFPA ratings per SDS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Hazard-spotting picture has no answer key (source: p.4)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Approve the authored answer key (Phase 2, hs2-010) and a new own illustration (do not reuse the cartoon until B3 is closed)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Facility evacuation floor plan (the sample map is generic) (source: p.12)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Use a generic own floor plan in the course + a line telling learners to find their unit's plan. Real floor plans are not put in the package (security).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Assembly point signs (inside / outside) (source: p.14)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assembly point names per branch, or keep generic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 Safety Lab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3 objective(s) assessed by one scored screen (hs2-o2, hs2-o4, hs2-o7)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hs2-o2: accept single-evidence at SME sign-off, or add a short check; hs2-o4: accept single-evidence at SME sign-off, or add a short check; hs2-o7: accept single-evidence at SME sign-off, or add a short check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02_health-and-safety-2/phase-1-action-map.md evidence map + 02_health-and-safety-2/phase-2-storyboard.md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Sick-leave pay: "days 31–90: 25% deducted" (= 75% pay?) (source: 35)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current policy text and the pay % for each band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03/B10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Scientific leave days by profession and "academic exams" wording copied from exam leave (source: 39–40)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Confirm; the slide 40 sentence about academic exams looks copied from slide 38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B10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03/B11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Hajj leave (2 years' service, 10–15 days incl. Eid) (source: 41)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B11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03/B12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GOSI rates (9.75% employee, 11.75% company, 21.5% total; Saudi only) (source: 45–46)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against current GOSI rates for new joiners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/ Payroll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B12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Compassionate leave: "130 calendar days" (Muslim female employee, death of husband) and "15 days" (non-Muslim) (source: 42)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exact wording and the legal basis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Overtime "depends on grade" but one formula is given (source: 48)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Which grades are eligible; is the formula the same for all?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ID-card loss penalty 100 SAR (source: 55)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Branch names: J3 Al Andalus vs Al Tahlia; J4 Abhor vs Obhur; PR1 vs PRC (source: 14–16)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+ Comms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Awards and accreditation claims (CBAHI scores 98.67 / 100, JCI news clip) (source: 17–18)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exact body, year and wording; JCI claim must be verifiable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Comms + Quality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Oracle screenshots must come from a test account (source: 50–52)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Provide a test login or approved screenshots with no real employee data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HRIS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 Welcome On Board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Annual leave carry-over (5 days, end of March; consulting-room physicians end of June) and entitlement by grade (source: 33–34)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for the current year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03_hr-employee-induction/phase-0-source-lock.md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Reporting lines for the Operations chart (source: 3)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 role-only chart (boxes and lines) approved by the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Director of Operations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Reporting lines for the My Care chart (source: 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Same, approved by the My Care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My Care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Abbreviations: FM, DMP, CHP, PR1, VIP team, Check Up Unit, In Patient (source: 3, 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Full names and one-line definitions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Operations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Which headcount (PXOs/FMs/Coords) belongs to which unit (source: 3, 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Not needed on screen if the course stays role-based. Confirm we drop headcounts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Director of Operations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PR1 vs PRC; J1–J4 names (source: 3)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+ Operations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Names on screen (source: 3, 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D5. Recommended: no names; link to the live directory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+ DPO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Escalation routes for the scenario (who handles on-spot complaints, insurance follow-ups, priority bookings, telemedicine coordination) (source: 2, 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right team for each of the 8 scenario requests in Phase 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PX Sr. Manager + My Care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 Who Does What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2 objective(s) assessed by one scored screen (ops-o1, ops-o3)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ops-o1: accept single-evidence at SME sign-off, or add a short check; ops-o3: accept single-evidence at SME sign-off, or add a short check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04_operations-and-my-care/phase-1-action-map.md evidence map + 04_operations-and-my-care/phase-2-storyboard.md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Regulator name CCHI vs CHI (source: Objectives; Updates)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05/B10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Clinical examples (IV fluids for dehydration; multi-joint pain with anti-DNA/anti-Ro/anti-La) (source: Medical necessity; Defensive medicine)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Medical Director confirms they are appropriate teaching examples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Medical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B10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Vitamin D repeat interval ("not less than 118") (source: Avoid excessive ordering)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The payer-approved minimum interval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 + 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HbA1c repeat interval ("before 89 day") (source: Avoid excessive ordering)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The payer-approved minimum interval (≈ 90 days?)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ICD-10 edition used for claims in KSA (ICD-10-AM?) and the exact codes for each example: R50, R05, R11, K52, J03, I10, E66, L70, L66, L21, N46, N97, general check-up (Z00?) (source: ICD-10 sections)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Coder confirms code + title in the edition used. Note: *vomiting → gastroenteritis* may code as A09 (infectious) or K52 (non-infective); the example must use the right one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Coding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Obesity: uncovered, but covered with BMI &gt; 40 and surgical referral (source: Avoid uncovered codes)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against the current table of benefits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PCOS hormonal assessment rejected vs menopause hormonal assessment and HRT approved (source: Amended benefits)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(links to module 06 women's-health benefit)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Mental-health sub-limit 50,000 SAR + pre-authorisation (source: Added benefits)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Covered in module 06; here only mentioned. Confirm or drop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"Combined supplements are treated as defensive medicine" (source: Avoid defensive medicine)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wording and whether it's a payer rule or internal guidance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Pre-authorisation workflow ("submit diagnosis with the request to get pre-authorisation at the first attempt") (source: Objectives)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steps in the clinic's EHR (links to module 08)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 RCM Part 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1 objective(s) assessed by one scored screen (rcma-o5)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rcma-o5: capstone — accept the single case at sign-off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05_rcm-documentation-and-coding/phase-1-action-map.md evidence map + 05_rcm-documentation-and-coding/phase-2-storyboard.md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Deck date "August 30, 2023" vs file name "2026" (source: 1–2)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Which EBP version is current; course cover shows the policy effective date, not the talk date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Regulator name CCHI vs CHI (source: 3–4, 8–12)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Program D4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B2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Every benefit on slides 8–12 checked against the official EBP document (text is small and approximate) (source: 8–12)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Line-by-line check; provide the official document reference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Counts: "18 added / 10 amended" vs 10 and 8 headline items (source: 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Use the headline items only and drop the counts, or confirm the full lists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B4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Limits: mental health 50,000 SAR per policy period; kidney transplant 250,000 SAR (source: 10, 12)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Optical cover wording ("life-threatening congenital illness for beneficiaries up to 14 years") (source: 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The slide wording looks garbled; confirm the actual benefit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Behavioural/dietary consultation criteria ("BMI &gt; 30 or ≥ 2 risk factors") (source: 9)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exact criteria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Payer relations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Rejection categories (source: 6)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Agree the category set used in the sort (proposed: Documentation · Coding · Policy / pre-authorisation · Timing / follow-up period · Billing process)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Coding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 RCM Part B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1 objective(s) assessed by one scored screen (rcmb-o1)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rcmb-o1: accept single-evidence at SME sign-off, or add a short check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06_rcm-ebp-benefits-and-rejections/phase-1-action-map.md evidence map + 06_rcm-ebp-benefits-and-rejections/phase-2-storyboard.md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07/B10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Hand hygiene five moments (WHO) wording (source: 04:10)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facility poster wording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Infection Control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B10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07/B11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FOCUS-PDCA step names (Find · Organise · Clarify · Understand · Select / Plan · Do · Check · Act) (source: 02:00 frame)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B11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Risk matrix: colour bands and score thresholds (1–25) (source: 05:20 frame (legend small))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Provide the corporate matrix with band names and ranges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Risk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Risk responses: reduce/mitigate · transfer · accept (executive approval) · avoid (source: 05:50–06:25)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four terms used in the risk policy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Risk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1 objective(s) assessed by one scored screen (qsr-o5)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qsr-o5: add one second short scored check (Phase 2 change, SME approves)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07_quality-safety-and-risk/phase-1-action-map.md evidence map + 07_quality-safety-and-risk/phase-2-storyboard.md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07/P01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 Clinical Governance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Companion placement on qsr-002: Noor sits beside the opening poll, while companions.md §5 keeps companions off question screens. The poll is unscored.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Allow the companion beside unscored polls/reflections (amend companions.md §5 wording), or move Noor to the reflection that follows.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Director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00_program/characters/companions.md §5 + 07_…/phase-2-storyboard.md companion table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08/B10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Sick-leave panel (printing disabled) (source: 8:20–8:38)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In scope or not? Recommended: out of scope (separate job aid)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B10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product name and version (source: —)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Name it or call it "the clinic EHR"; record the version so screenshots can be refreshed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B3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08/B5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Button and screen names (Today's consultation, Add Diagnosis, Order History, Form Wizard, Consultation Summary, Download and Print, Send SMS, Referral) (source: whole video)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on the current build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B5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Medication and lab examples (lornoxicam, diclofenac, Fevadol non-formulary, Augmentin; CBC, TSH, ECG; vitamin D, "hair package") (source: 1:40–4:50)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Choose 2–3 neutral examples approved by Pharmacy; confirm which item needs non-formulary approval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Pharmacy + Medical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B6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Clinical disclaimer (source: —)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Wording: "Clinical examples show how to use the system. They are not treatment guidance."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Medical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B7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08/B8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SMS education: department list and ICD-10 linked leaflets (source: 7:00)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 the feature exists in the current build and an E11 leaflet is available in test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B8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08/B9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Referral timing options (next available, within a week, two weeks, a month) and internal vs external (source: 7:40–8:20)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Confirm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 lead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08_it-ehr-consultation/phase-0-source-lock.md row B9 + §4 verified-facts register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08/G4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 EHR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Thin objective evidence: 2 objective(s) assessed by one scored screen (ehr-o2, ehr-o5)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ehr-o2: add one second short scored check (Phase 2 change, SME approves); ehr-o5: accept single-evidence at SME sign-off, or add a short check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SME lead + 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08_it-ehr-consultation/phase-1-action-map.md evidence map + 08_it-ehr-consultation/phase-2-storyboard.md if a check is added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02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Template origin of H&amp;S 2 ("First Clinic" metadata) [15]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Do not reuse H&amp;S 2 template art until confirmed.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Safety &amp; Security Manager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03, program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Clinical Risk and Infection Control sessions (on the HR agenda but no source) [5]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Out of scope for these eight packages. Flag as a gap in the induction curriculum.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D14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01, 03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Completion record / acknowledgement form (H&amp;S 1 page 65 asks staff to sign)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Use an LMS attestation step after the SCORM package, or a final poll screen + LMS e-signature.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L&amp;D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D3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03, 04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Branch names and codes: J3 Al Andalus vs Al Tahlia; J4 Abhor vs Obhur; PR1 vs PRC [6]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Use the names on the current branch signage / official website.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HR + Operations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D4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05, 06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Regulator name: CCHI vs CHI (Council of Health Insurance) [7]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Use the regulator's current official English name and acronym throughout.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RCM lead (Dr Wafaa Elshayeb or successor)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  <w:tr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D7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07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video licence and watermark [12, 16]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Recommended: rebuild natively; do not ship the NotebookLM video. Optional: a new short intro video made in-house.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Quality Director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2026-10-30 (end of week 2)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00_program/cross-module-decisions.md (Decision column) → the Phase 0 tables and storyboard cards of the modules listed</w:t>
            </w:r>
          </w:p>
        </w:tc>
        <w:tc>
          <w:tcPr>
            <w:tcW w:type="dxa" w:w="1307"/>
          </w:tcPr>
          <w:p>
            <w:pPr>
              <w:spacing w:after="20"/>
            </w:pPr>
            <w:r>
              <w:rPr>
                <w:rFonts w:ascii="Montserrat" w:hAnsi="Montserrat"/>
                <w:sz w:val="15"/>
              </w:rPr>
              <w:t>Open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ontserrat" w:hAnsi="Montserrat"/>
        <w:color w:val="5B6B7B"/>
        <w:sz w:val="15"/>
      </w:rPr>
      <w:t xml:space="preserve">Phase 0 kick-off working document · 14 October 2026 · MC-KO-01 v0.1   ·   Page </w:t>
    </w:r>
    <w:r>
      <w:rPr>
        <w:rFonts w:ascii="Montserrat" w:hAnsi="Montserrat"/>
        <w:color w:val="5B6B7B"/>
        <w:sz w:val="15"/>
      </w:rPr>
      <w:fldChar w:fldCharType="begin"/>
      <w:instrText xml:space="preserve"> PAGE </w:instrText>
      <w:fldChar w:fldCharType="end"/>
    </w:r>
    <w:r>
      <w:rPr>
        <w:rFonts w:ascii="Montserrat" w:hAnsi="Montserrat"/>
        <w:color w:val="5B6B7B"/>
        <w:sz w:val="15"/>
      </w:rPr>
      <w:t xml:space="preserve"> of </w:t>
    </w:r>
    <w:r>
      <w:rPr>
        <w:rFonts w:ascii="Montserrat" w:hAnsi="Montserrat"/>
        <w:color w:val="5B6B7B"/>
        <w:sz w:val="15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454" w:val="right"/>
      </w:tabs>
      <w:jc w:val="left"/>
    </w:pPr>
    <w:r>
      <w:drawing>
        <wp:inline xmlns:a="http://schemas.openxmlformats.org/drawingml/2006/main" xmlns:pic="http://schemas.openxmlformats.org/drawingml/2006/picture">
          <wp:extent cx="1234440" cy="4690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-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6901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ontserrat" w:hAnsi="Montserrat"/>
        <w:color w:val="5B6B7B"/>
        <w:sz w:val="15"/>
      </w:rPr>
      <w:tab/>
      <w:t>MY CLINIC  |  STORYBOARD REVIEW  |  MC-KO-01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ontserrat" w:hAnsi="Montserrat" w:eastAsia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003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0038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0038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 w:eastAsia="Montserrat"/>
      <w:b/>
      <w:bCs/>
      <w:i/>
      <w:iCs/>
      <w:color w:val="003867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color w:val="0038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